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rightChars="0" w:firstLine="56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一、概述：</w:t>
      </w:r>
    </w:p>
    <w:p>
      <w:pPr>
        <w:widowControl/>
        <w:spacing w:line="480" w:lineRule="auto"/>
        <w:ind w:right="-286" w:rightChars="-136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黑龙江乌苏里江制药有限公司哈尔滨分公司拟对10T纯化水机组RO膜更换维修公开招标，欢迎符合招标条件的投标方前来投标，具体事宜安排如下：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二、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技术部分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1、更换维修要求：</w:t>
      </w:r>
    </w:p>
    <w:tbl>
      <w:tblPr>
        <w:tblStyle w:val="10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6392"/>
        <w:gridCol w:w="1200"/>
        <w:gridCol w:w="11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6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需求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期望/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必须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是否符合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URS01 </w:t>
            </w:r>
          </w:p>
        </w:tc>
        <w:tc>
          <w:tcPr>
            <w:tcW w:w="6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更换RO膜，拆旧安新21只；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bidi="en-US"/>
              </w:rPr>
              <w:t>必须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口是/口否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URS02</w:t>
            </w:r>
          </w:p>
        </w:tc>
        <w:tc>
          <w:tcPr>
            <w:tcW w:w="6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RO膜品牌：美国杜邦（陶氏）原装进口；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bidi="en-US"/>
              </w:rPr>
              <w:t>必须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口是/口否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URS0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6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规格型号：BW30-PRO-400；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GB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bidi="en-US"/>
              </w:rPr>
              <w:t>必须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口是/口否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URS0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6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提供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美国杜邦（陶氏）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产品质量证明书；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bidi="en-US"/>
              </w:rPr>
              <w:t>必须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口是/口否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URS0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6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更换RO膜壳头密封组件14套；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bidi="en-US"/>
              </w:rPr>
              <w:t>必须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口是/口否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URS0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6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原水罐进水液面自动控制1套，实现自动进水无人值守状态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bidi="en-US"/>
              </w:rPr>
              <w:t>必须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口是/口否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URS0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6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更换原水罐、淡水罐液位管；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bidi="en-US"/>
              </w:rPr>
              <w:t>必须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口是/口否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URS0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6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系统调试，产水能力达到设计产能10T，电导率小于等于3；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bidi="en-US"/>
              </w:rPr>
              <w:t>必须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口是/口否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URS0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6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宋体" w:asciiTheme="minorEastAsia" w:hAnsiTheme="minorEastAsia" w:cstheme="minorEastAsia"/>
                <w:sz w:val="24"/>
                <w:szCs w:val="24"/>
                <w:lang w:val="en-US" w:eastAsia="zh-CN"/>
              </w:rPr>
              <w:t>工期3个日历日，完成交钥匙工程。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bidi="en-US"/>
              </w:rPr>
              <w:t>必须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口是/口否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left"/>
        <w:textAlignment w:val="bottom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2、其他要求</w:t>
      </w:r>
    </w:p>
    <w:tbl>
      <w:tblPr>
        <w:tblStyle w:val="10"/>
        <w:tblW w:w="971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6431"/>
        <w:gridCol w:w="1200"/>
        <w:gridCol w:w="11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6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  <w:t>需求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期望/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必须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是否符合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URS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6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更换维修方应在中华人民共和国境内合法注册；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bidi="en-US"/>
              </w:rPr>
              <w:t>必须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口是/口否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120" w:line="360" w:lineRule="auto"/>
              <w:ind w:left="0" w:leftChars="0" w:firstLine="0" w:firstLineChars="0"/>
              <w:jc w:val="center"/>
              <w:rPr>
                <w:rFonts w:hint="default" w:ascii="Arial" w:hAnsi="Arial" w:cs="Arial" w:eastAsiaTheme="minorEastAsia"/>
                <w:b/>
                <w:kern w:val="2"/>
                <w:sz w:val="24"/>
                <w:szCs w:val="24"/>
                <w:highlight w:val="none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URS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6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更换维修方在施工过程必须做好施工人员安全防护；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GB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bidi="en-US"/>
              </w:rPr>
              <w:t>必须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口是/口否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120" w:line="360" w:lineRule="auto"/>
              <w:ind w:left="0" w:leftChars="0" w:firstLine="0" w:firstLineChars="0"/>
              <w:jc w:val="center"/>
              <w:rPr>
                <w:rFonts w:hint="default" w:ascii="Arial" w:hAnsi="Arial" w:cs="Arial" w:eastAsiaTheme="minorEastAsia"/>
                <w:b/>
                <w:kern w:val="2"/>
                <w:sz w:val="24"/>
                <w:szCs w:val="24"/>
                <w:highlight w:val="none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URS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6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更换维修方提供医药行业业绩合同2份；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GB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bidi="en-US"/>
              </w:rPr>
              <w:t>必须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口是/口否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default" w:ascii="Arial" w:hAnsi="Arial" w:cs="Arial" w:eastAsiaTheme="minorEastAsia"/>
                <w:b/>
                <w:kern w:val="2"/>
                <w:sz w:val="24"/>
                <w:szCs w:val="24"/>
                <w:highlight w:val="none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URS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6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更换维修方提供营业执照、税务登记证、组织机构代码证（或三证合一）；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GB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bidi="en-US"/>
              </w:rPr>
              <w:t>必须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口是/口否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URS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6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更换维修方保证，不少于两年维修保证期；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bidi="en-US"/>
              </w:rPr>
              <w:t>必须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口是/口否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URS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6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报价方式：综合单价法（含材料、人工、运输、税金的所有费用）；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GB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bidi="en-US"/>
              </w:rPr>
              <w:t>必须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口是/口否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URS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6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合同签订即开始更换维修施工，发货前付合同总额70%发货款，材料到达指定地点安装，完成工程量100%后，使用方验收合格后，开全款增值税发票入账，付合同总额30%款，质保期自验收合格之日二年。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GB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bidi="en-US"/>
              </w:rPr>
              <w:t>必须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4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口是/口否</w:t>
            </w:r>
          </w:p>
        </w:tc>
      </w:tr>
    </w:tbl>
    <w:p>
      <w:pPr>
        <w:spacing w:line="36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应商对URS中的项目要求条款予以确认，有偏离的做对应的详细说明。</w:t>
      </w:r>
    </w:p>
    <w:p>
      <w:pPr>
        <w:pStyle w:val="15"/>
        <w:snapToGrid w:val="0"/>
        <w:spacing w:before="156" w:beforeLines="50" w:beforeAutospacing="0" w:after="156" w:afterLines="50" w:afterAutospacing="0"/>
        <w:ind w:left="357" w:firstLine="0" w:firstLineChars="0"/>
        <w:jc w:val="center"/>
        <w:rPr>
          <w:rFonts w:hint="eastAsia" w:asciiTheme="minorEastAsia" w:hAnsiTheme="minorEastAsia" w:eastAsiaTheme="minorEastAsia" w:cstheme="minorEastAsia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表1  URS偏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离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汇总表</w:t>
      </w:r>
    </w:p>
    <w:tbl>
      <w:tblPr>
        <w:tblStyle w:val="10"/>
        <w:tblW w:w="9783" w:type="dxa"/>
        <w:tblInd w:w="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400"/>
        <w:gridCol w:w="1944"/>
        <w:gridCol w:w="5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URS编号</w:t>
            </w:r>
          </w:p>
        </w:tc>
        <w:tc>
          <w:tcPr>
            <w:tcW w:w="1944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偏离项</w:t>
            </w:r>
          </w:p>
        </w:tc>
        <w:tc>
          <w:tcPr>
            <w:tcW w:w="5439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偏离说明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ind w:left="1" w:leftChars="-171" w:hanging="360" w:hangingChars="1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1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439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439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439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439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439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439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439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439" w:type="dxa"/>
            <w:noWrap w:val="0"/>
            <w:vAlign w:val="top"/>
          </w:tcPr>
          <w:p>
            <w:pPr>
              <w:snapToGrid w:val="0"/>
              <w:spacing w:before="156" w:beforeLines="50" w:after="156" w:after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、结款方式：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结算方式：电汇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、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更换维修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方资质要求：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1、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更换维修方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应具有法人营业执照、税务登记证、组织机构代码证等资质文件（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彩印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件加盖红章）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2、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更换维修方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需提供售后服务相关事宜文件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3、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更换维修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方具有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纯化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水处理机组制造或安装资质,注册资金100万元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以上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4、更换维修方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一般情况表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spacing w:val="-1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5、</w:t>
      </w:r>
      <w:r>
        <w:rPr>
          <w:rFonts w:ascii="宋体" w:hAnsi="宋体" w:eastAsia="宋体" w:cs="宋体"/>
          <w:spacing w:val="-8"/>
          <w:sz w:val="24"/>
          <w:szCs w:val="24"/>
        </w:rPr>
        <w:t>法定代表人为同一人的两个及两个以上法人，母公司</w:t>
      </w:r>
      <w:r>
        <w:rPr>
          <w:rFonts w:ascii="宋体" w:hAnsi="宋体" w:eastAsia="宋体" w:cs="宋体"/>
          <w:spacing w:val="-9"/>
          <w:sz w:val="24"/>
          <w:szCs w:val="24"/>
        </w:rPr>
        <w:t>、全资子公司及其控股公司，</w:t>
      </w:r>
      <w:r>
        <w:rPr>
          <w:rFonts w:ascii="宋体" w:hAnsi="宋体" w:eastAsia="宋体" w:cs="宋体"/>
          <w:spacing w:val="-1"/>
          <w:sz w:val="24"/>
          <w:szCs w:val="24"/>
        </w:rPr>
        <w:t>不得同时投标</w:t>
      </w:r>
      <w:r>
        <w:rPr>
          <w:rFonts w:hint="eastAsia" w:ascii="宋体" w:hAnsi="宋体" w:eastAsia="宋体" w:cs="宋体"/>
          <w:spacing w:val="-1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</w:rPr>
        <w:t>6、</w:t>
      </w:r>
      <w:r>
        <w:rPr>
          <w:rFonts w:ascii="宋体" w:hAnsi="宋体" w:eastAsia="宋体" w:cs="宋体"/>
          <w:spacing w:val="-1"/>
          <w:sz w:val="24"/>
          <w:szCs w:val="24"/>
        </w:rPr>
        <w:t>与招标人存在利害关系可能影响招</w:t>
      </w:r>
      <w:r>
        <w:rPr>
          <w:rFonts w:ascii="宋体" w:hAnsi="宋体" w:eastAsia="宋体" w:cs="宋体"/>
          <w:spacing w:val="-2"/>
          <w:sz w:val="24"/>
          <w:szCs w:val="24"/>
        </w:rPr>
        <w:t>标公正性的法人、</w:t>
      </w:r>
      <w:r>
        <w:rPr>
          <w:rFonts w:ascii="宋体" w:hAnsi="宋体" w:eastAsia="宋体" w:cs="宋体"/>
          <w:sz w:val="24"/>
          <w:szCs w:val="24"/>
        </w:rPr>
        <w:t xml:space="preserve"> 其他组织或者个人，不得参加投标；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spacing w:val="-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</w:t>
      </w:r>
      <w:r>
        <w:rPr>
          <w:rFonts w:ascii="宋体" w:hAnsi="宋体" w:eastAsia="宋体" w:cs="宋体"/>
          <w:sz w:val="24"/>
          <w:szCs w:val="24"/>
        </w:rPr>
        <w:t>单位负责人为同一人或者</w:t>
      </w:r>
      <w:r>
        <w:rPr>
          <w:rFonts w:ascii="宋体" w:hAnsi="宋体" w:eastAsia="宋体" w:cs="宋体"/>
          <w:spacing w:val="-1"/>
          <w:sz w:val="24"/>
          <w:szCs w:val="24"/>
        </w:rPr>
        <w:t>存在控股、管理关系的不同</w:t>
      </w:r>
      <w:r>
        <w:rPr>
          <w:rFonts w:ascii="宋体" w:hAnsi="宋体" w:eastAsia="宋体" w:cs="宋体"/>
          <w:sz w:val="24"/>
          <w:szCs w:val="24"/>
        </w:rPr>
        <w:t xml:space="preserve"> 单位，不得同时</w:t>
      </w:r>
      <w:r>
        <w:rPr>
          <w:rFonts w:ascii="宋体" w:hAnsi="宋体" w:eastAsia="宋体" w:cs="宋体"/>
          <w:spacing w:val="-1"/>
          <w:sz w:val="24"/>
          <w:szCs w:val="24"/>
        </w:rPr>
        <w:t>投标</w:t>
      </w:r>
      <w:r>
        <w:rPr>
          <w:rFonts w:hint="eastAsia" w:ascii="宋体" w:hAnsi="宋体" w:eastAsia="宋体" w:cs="宋体"/>
          <w:spacing w:val="-1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更换维修方</w:t>
      </w:r>
      <w:r>
        <w:rPr>
          <w:rFonts w:hint="eastAsia" w:ascii="宋体" w:hAnsi="宋体" w:eastAsia="宋体" w:cs="宋体"/>
          <w:sz w:val="24"/>
          <w:szCs w:val="24"/>
        </w:rPr>
        <w:t>应具有合法注册证明、足够履约注册资本、具有良好的质量保证体系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三年内无不良记录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"/>
        </w:rPr>
        <w:t>更换维修方提供医药行业业绩合同2份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，注明使用单位设备部门或使用部门联系人、联系方式；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10、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法人授权委托书（加盖红章）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11、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法人营业执照（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彩印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件加盖红章）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    12、报价单，一口价（报价单加盖红章）报价单格式附件。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、日程安排：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1、投标标书，一正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副共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本，含技术和商务部分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2、时间、地址：请于2024年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日12:00前邮寄或送至黑龙江省哈尔滨市平房区渤海路39号，乌苏里江制药有限公司哈尔滨分公司 翟芯宇（收） 13199638798，未收到或未在规定时间内收到标书，视为放弃投标。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3、快递脱皮后，标书应有独立包装，包装外表面明显位置设置标识，标注设备厂家名称，项目标书、联系人、电话等信息，开标时统一开启。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4、开标时间：2024年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日13:00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、联系方式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投标联系人: 翟芯宇       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 联系电话：13199638798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default" w:asciiTheme="minorEastAsia" w:hAnsiTheme="minorEastAsia" w:eastAsiaTheme="minorEastAsia" w:cstheme="minorEastAsia"/>
          <w:b/>
          <w:color w:val="000000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技术答疑人：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周宝双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                联系电话：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13936675940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500" w:lineRule="exact"/>
        <w:ind w:firstLine="3614" w:firstLineChars="1000"/>
        <w:jc w:val="both"/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6"/>
          <w:szCs w:val="36"/>
          <w:highlight w:val="none"/>
        </w:rPr>
        <w:t>报 价 单</w:t>
      </w:r>
    </w:p>
    <w:tbl>
      <w:tblPr>
        <w:tblStyle w:val="10"/>
        <w:tblpPr w:leftFromText="180" w:rightFromText="180" w:vertAnchor="text" w:horzAnchor="page" w:tblpX="1165" w:tblpY="613"/>
        <w:tblOverlap w:val="never"/>
        <w:tblW w:w="10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466"/>
        <w:gridCol w:w="1534"/>
        <w:gridCol w:w="916"/>
        <w:gridCol w:w="917"/>
        <w:gridCol w:w="1000"/>
        <w:gridCol w:w="967"/>
        <w:gridCol w:w="1183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53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规格型号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单价（元）</w:t>
            </w:r>
          </w:p>
        </w:tc>
        <w:tc>
          <w:tcPr>
            <w:tcW w:w="96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  <w:t>总价（元）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总货期</w:t>
            </w:r>
          </w:p>
        </w:tc>
        <w:tc>
          <w:tcPr>
            <w:tcW w:w="16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RO膜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BW30-PRO-400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拆旧安新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密封组件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膜壳头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液面控制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原水罐进水口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原水罐液位管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更换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5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淡水罐液位管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更换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6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系统调试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次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达到设计产能10T，电导率小于等于2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合计</w:t>
            </w: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6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61" w:type="dxa"/>
            <w:noWrap w:val="0"/>
            <w:vAlign w:val="top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both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（金额）</w:t>
            </w:r>
          </w:p>
        </w:tc>
        <w:tc>
          <w:tcPr>
            <w:tcW w:w="8134" w:type="dxa"/>
            <w:gridSpan w:val="7"/>
            <w:noWrap w:val="0"/>
            <w:vAlign w:val="top"/>
          </w:tcPr>
          <w:p>
            <w:pPr>
              <w:spacing w:line="720" w:lineRule="auto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大写：</w:t>
            </w:r>
          </w:p>
        </w:tc>
      </w:tr>
    </w:tbl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color w:val="000000"/>
          <w:sz w:val="48"/>
          <w:szCs w:val="48"/>
          <w:highlight w:val="none"/>
          <w:lang w:val="en-US" w:eastAsia="zh-CN"/>
        </w:rPr>
      </w:pPr>
    </w:p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highlight w:val="none"/>
        </w:rPr>
      </w:pPr>
    </w:p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highlight w:val="none"/>
        </w:rPr>
      </w:pPr>
    </w:p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highlight w:val="none"/>
        </w:rPr>
      </w:pPr>
    </w:p>
    <w:p>
      <w:pPr>
        <w:spacing w:line="500" w:lineRule="exact"/>
        <w:ind w:firstLine="1405" w:firstLineChars="50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highlight w:val="none"/>
        </w:rPr>
        <w:t>报价单位：</w:t>
      </w:r>
    </w:p>
    <w:p>
      <w:pPr>
        <w:spacing w:line="500" w:lineRule="exact"/>
        <w:ind w:firstLine="1405" w:firstLineChars="50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highlight w:val="none"/>
          <w:lang w:val="en-US" w:eastAsia="zh-CN"/>
        </w:rPr>
        <w:t>报价人：</w:t>
      </w:r>
    </w:p>
    <w:p>
      <w:pPr>
        <w:spacing w:line="500" w:lineRule="exact"/>
        <w:ind w:firstLine="1405" w:firstLineChars="50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highlight w:val="none"/>
          <w:lang w:val="en-US" w:eastAsia="zh-CN"/>
        </w:rPr>
        <w:t>联系方式;</w:t>
      </w:r>
    </w:p>
    <w:p>
      <w:pPr>
        <w:spacing w:line="500" w:lineRule="exact"/>
        <w:ind w:firstLine="2811" w:firstLineChars="1000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highlight w:val="none"/>
        </w:rPr>
        <w:t>年   月   日</w:t>
      </w:r>
    </w:p>
    <w:p>
      <w:pPr>
        <w:spacing w:line="480" w:lineRule="auto"/>
        <w:jc w:val="left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spacing w:line="480" w:lineRule="auto"/>
        <w:jc w:val="left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6" w:space="0"/>
      </w:pBdr>
      <w:jc w:val="both"/>
      <w:rPr>
        <w:rFonts w:ascii="楷体_GB2312" w:eastAsia="楷体_GB2312"/>
        <w:color w:val="000000"/>
        <w:lang w:eastAsia="zh-CN"/>
      </w:rPr>
    </w:pPr>
    <w:r>
      <w:rPr>
        <w:rFonts w:hint="eastAsia" w:ascii="楷体_GB2312" w:eastAsia="楷体_GB2312"/>
        <w:color w:val="000000"/>
        <w:lang w:val="en-US" w:eastAsia="zh-CN"/>
      </w:rPr>
      <w:t>黑龙江乌苏里江制药有限公司哈尔滨分公司</w:t>
    </w:r>
    <w:r>
      <w:rPr>
        <w:rFonts w:hint="eastAsia" w:ascii="楷体_GB2312" w:eastAsia="楷体_GB2312"/>
        <w:color w:val="000000"/>
      </w:rPr>
      <w:t>招标文件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Y2Q3NTY1NzM1NjdlMTcwM2Y1ZmExNGQ0MmQwNjgifQ=="/>
  </w:docVars>
  <w:rsids>
    <w:rsidRoot w:val="0086605E"/>
    <w:rsid w:val="00003F19"/>
    <w:rsid w:val="000454F8"/>
    <w:rsid w:val="00054F5E"/>
    <w:rsid w:val="000558E3"/>
    <w:rsid w:val="000B2F2A"/>
    <w:rsid w:val="000E642F"/>
    <w:rsid w:val="000F59D1"/>
    <w:rsid w:val="001060B1"/>
    <w:rsid w:val="0010664E"/>
    <w:rsid w:val="001140C2"/>
    <w:rsid w:val="00130676"/>
    <w:rsid w:val="00136F46"/>
    <w:rsid w:val="001A34FA"/>
    <w:rsid w:val="001A46D0"/>
    <w:rsid w:val="00226B8D"/>
    <w:rsid w:val="00264EAA"/>
    <w:rsid w:val="00272397"/>
    <w:rsid w:val="002952CA"/>
    <w:rsid w:val="002A24B9"/>
    <w:rsid w:val="002C094E"/>
    <w:rsid w:val="002F6E9F"/>
    <w:rsid w:val="00304156"/>
    <w:rsid w:val="00353F08"/>
    <w:rsid w:val="003A782B"/>
    <w:rsid w:val="003C58C7"/>
    <w:rsid w:val="003C60F7"/>
    <w:rsid w:val="003F36CA"/>
    <w:rsid w:val="0041494A"/>
    <w:rsid w:val="004244DC"/>
    <w:rsid w:val="004252E6"/>
    <w:rsid w:val="004864CE"/>
    <w:rsid w:val="004A6E70"/>
    <w:rsid w:val="004C6339"/>
    <w:rsid w:val="004E1517"/>
    <w:rsid w:val="004F5B1D"/>
    <w:rsid w:val="0051080A"/>
    <w:rsid w:val="00525BC0"/>
    <w:rsid w:val="00535349"/>
    <w:rsid w:val="00542093"/>
    <w:rsid w:val="0056511F"/>
    <w:rsid w:val="00572EDB"/>
    <w:rsid w:val="005D0944"/>
    <w:rsid w:val="00624AE6"/>
    <w:rsid w:val="00635E97"/>
    <w:rsid w:val="00637DC9"/>
    <w:rsid w:val="006603B2"/>
    <w:rsid w:val="006C5532"/>
    <w:rsid w:val="006E7C3E"/>
    <w:rsid w:val="00707A92"/>
    <w:rsid w:val="00723590"/>
    <w:rsid w:val="00751757"/>
    <w:rsid w:val="00782F4C"/>
    <w:rsid w:val="007957F7"/>
    <w:rsid w:val="007B2F45"/>
    <w:rsid w:val="007E6F36"/>
    <w:rsid w:val="008011EE"/>
    <w:rsid w:val="0086605E"/>
    <w:rsid w:val="008677EB"/>
    <w:rsid w:val="008F27C0"/>
    <w:rsid w:val="00900A01"/>
    <w:rsid w:val="0093451E"/>
    <w:rsid w:val="00936FB2"/>
    <w:rsid w:val="00943FD1"/>
    <w:rsid w:val="00946ECE"/>
    <w:rsid w:val="00982381"/>
    <w:rsid w:val="00986B42"/>
    <w:rsid w:val="009B6C38"/>
    <w:rsid w:val="009C52F0"/>
    <w:rsid w:val="009D6639"/>
    <w:rsid w:val="009D7931"/>
    <w:rsid w:val="009E6A69"/>
    <w:rsid w:val="00A6154B"/>
    <w:rsid w:val="00A963F3"/>
    <w:rsid w:val="00AE2B1A"/>
    <w:rsid w:val="00BC3A77"/>
    <w:rsid w:val="00BD7CDF"/>
    <w:rsid w:val="00BF3D0D"/>
    <w:rsid w:val="00C100BC"/>
    <w:rsid w:val="00C10C93"/>
    <w:rsid w:val="00C53270"/>
    <w:rsid w:val="00C65E07"/>
    <w:rsid w:val="00C770F9"/>
    <w:rsid w:val="00C77B85"/>
    <w:rsid w:val="00D10E20"/>
    <w:rsid w:val="00D117D5"/>
    <w:rsid w:val="00D33FF4"/>
    <w:rsid w:val="00D34670"/>
    <w:rsid w:val="00D41752"/>
    <w:rsid w:val="00D61649"/>
    <w:rsid w:val="00D653E2"/>
    <w:rsid w:val="00D66857"/>
    <w:rsid w:val="00D81B80"/>
    <w:rsid w:val="00D83181"/>
    <w:rsid w:val="00D9086E"/>
    <w:rsid w:val="00DA3472"/>
    <w:rsid w:val="00DB3549"/>
    <w:rsid w:val="00DC3DBB"/>
    <w:rsid w:val="00DE1F60"/>
    <w:rsid w:val="00DF120E"/>
    <w:rsid w:val="00E01806"/>
    <w:rsid w:val="00E049B0"/>
    <w:rsid w:val="00E53E01"/>
    <w:rsid w:val="00E94E1D"/>
    <w:rsid w:val="00EB4509"/>
    <w:rsid w:val="00ED6B82"/>
    <w:rsid w:val="00F167AC"/>
    <w:rsid w:val="00F24209"/>
    <w:rsid w:val="00F50B50"/>
    <w:rsid w:val="00F53141"/>
    <w:rsid w:val="00F60994"/>
    <w:rsid w:val="00F757B8"/>
    <w:rsid w:val="00F872B2"/>
    <w:rsid w:val="00FA74FF"/>
    <w:rsid w:val="00FC4011"/>
    <w:rsid w:val="04857662"/>
    <w:rsid w:val="082C148A"/>
    <w:rsid w:val="09950675"/>
    <w:rsid w:val="09B74451"/>
    <w:rsid w:val="0AB913D7"/>
    <w:rsid w:val="0B0C73F9"/>
    <w:rsid w:val="0B35729F"/>
    <w:rsid w:val="0C3C77C2"/>
    <w:rsid w:val="0CC462EE"/>
    <w:rsid w:val="0D800A01"/>
    <w:rsid w:val="0F872F52"/>
    <w:rsid w:val="11226320"/>
    <w:rsid w:val="118916FB"/>
    <w:rsid w:val="118B7221"/>
    <w:rsid w:val="120E69C5"/>
    <w:rsid w:val="13085987"/>
    <w:rsid w:val="14CC1ABA"/>
    <w:rsid w:val="15981D66"/>
    <w:rsid w:val="159B19FD"/>
    <w:rsid w:val="15F1786F"/>
    <w:rsid w:val="15FB4815"/>
    <w:rsid w:val="170D368F"/>
    <w:rsid w:val="178D0845"/>
    <w:rsid w:val="17FC12DA"/>
    <w:rsid w:val="18594278"/>
    <w:rsid w:val="19A76BC3"/>
    <w:rsid w:val="19EF01DB"/>
    <w:rsid w:val="19F32613"/>
    <w:rsid w:val="1A9D1D1D"/>
    <w:rsid w:val="1BD46C26"/>
    <w:rsid w:val="1DFE1EC3"/>
    <w:rsid w:val="1E29768D"/>
    <w:rsid w:val="1E370D16"/>
    <w:rsid w:val="1F874085"/>
    <w:rsid w:val="1FA111FD"/>
    <w:rsid w:val="21ED77E0"/>
    <w:rsid w:val="221435F9"/>
    <w:rsid w:val="2432006F"/>
    <w:rsid w:val="2453724D"/>
    <w:rsid w:val="24A25DC1"/>
    <w:rsid w:val="27325740"/>
    <w:rsid w:val="276D7C78"/>
    <w:rsid w:val="281C077C"/>
    <w:rsid w:val="28E22AAD"/>
    <w:rsid w:val="29011A33"/>
    <w:rsid w:val="2A0C6E93"/>
    <w:rsid w:val="2AEF7E15"/>
    <w:rsid w:val="2AF220C5"/>
    <w:rsid w:val="2C124152"/>
    <w:rsid w:val="2C127B7E"/>
    <w:rsid w:val="2C7843EE"/>
    <w:rsid w:val="2CCD473A"/>
    <w:rsid w:val="2CEA092A"/>
    <w:rsid w:val="2CFB0FD7"/>
    <w:rsid w:val="2D622954"/>
    <w:rsid w:val="2DD15690"/>
    <w:rsid w:val="2FFE4F25"/>
    <w:rsid w:val="30361AC7"/>
    <w:rsid w:val="31251A36"/>
    <w:rsid w:val="324C02A1"/>
    <w:rsid w:val="33B02E31"/>
    <w:rsid w:val="33F46E47"/>
    <w:rsid w:val="341E46BE"/>
    <w:rsid w:val="344531D6"/>
    <w:rsid w:val="34761214"/>
    <w:rsid w:val="347D6C38"/>
    <w:rsid w:val="348C2ED8"/>
    <w:rsid w:val="34914369"/>
    <w:rsid w:val="356B18E7"/>
    <w:rsid w:val="35C44201"/>
    <w:rsid w:val="37BB1636"/>
    <w:rsid w:val="381141D6"/>
    <w:rsid w:val="38190834"/>
    <w:rsid w:val="3843297F"/>
    <w:rsid w:val="38454A6A"/>
    <w:rsid w:val="3856472B"/>
    <w:rsid w:val="38890B91"/>
    <w:rsid w:val="39AB00CF"/>
    <w:rsid w:val="3ABD7E7D"/>
    <w:rsid w:val="3BB55C74"/>
    <w:rsid w:val="3BCB5FE5"/>
    <w:rsid w:val="3C674AF1"/>
    <w:rsid w:val="3D956BAE"/>
    <w:rsid w:val="3E5B586C"/>
    <w:rsid w:val="3EA735D5"/>
    <w:rsid w:val="3F4168C2"/>
    <w:rsid w:val="3FFA6E29"/>
    <w:rsid w:val="3FFE1174"/>
    <w:rsid w:val="41E100BA"/>
    <w:rsid w:val="42F13B7A"/>
    <w:rsid w:val="43421586"/>
    <w:rsid w:val="451A6E30"/>
    <w:rsid w:val="45372C41"/>
    <w:rsid w:val="456C2EF5"/>
    <w:rsid w:val="462F3066"/>
    <w:rsid w:val="46380A1F"/>
    <w:rsid w:val="48E91616"/>
    <w:rsid w:val="4B5A15DC"/>
    <w:rsid w:val="4C2D07F6"/>
    <w:rsid w:val="4D2B6849"/>
    <w:rsid w:val="4DEF0163"/>
    <w:rsid w:val="4DF50390"/>
    <w:rsid w:val="50D25D7E"/>
    <w:rsid w:val="52116D4B"/>
    <w:rsid w:val="526329DC"/>
    <w:rsid w:val="52FD740F"/>
    <w:rsid w:val="536501E5"/>
    <w:rsid w:val="54A278F0"/>
    <w:rsid w:val="55AD04B1"/>
    <w:rsid w:val="568023CE"/>
    <w:rsid w:val="572B1A69"/>
    <w:rsid w:val="57B63E99"/>
    <w:rsid w:val="57FD3196"/>
    <w:rsid w:val="58921AD3"/>
    <w:rsid w:val="5C2F3ECA"/>
    <w:rsid w:val="5CDA6821"/>
    <w:rsid w:val="5D2418A5"/>
    <w:rsid w:val="5DA26832"/>
    <w:rsid w:val="5E8C0D20"/>
    <w:rsid w:val="5EB24683"/>
    <w:rsid w:val="5F725B0C"/>
    <w:rsid w:val="5FA2218F"/>
    <w:rsid w:val="60CA3C24"/>
    <w:rsid w:val="611107BE"/>
    <w:rsid w:val="61D55715"/>
    <w:rsid w:val="61E52CA2"/>
    <w:rsid w:val="620A560F"/>
    <w:rsid w:val="623B60B5"/>
    <w:rsid w:val="637E1A26"/>
    <w:rsid w:val="637F0F7D"/>
    <w:rsid w:val="63861DC3"/>
    <w:rsid w:val="63EC289D"/>
    <w:rsid w:val="644A1455"/>
    <w:rsid w:val="65E572CC"/>
    <w:rsid w:val="66D2217B"/>
    <w:rsid w:val="67957627"/>
    <w:rsid w:val="68673C57"/>
    <w:rsid w:val="68806828"/>
    <w:rsid w:val="68FF2377"/>
    <w:rsid w:val="6A097EF8"/>
    <w:rsid w:val="6A365A66"/>
    <w:rsid w:val="6A863954"/>
    <w:rsid w:val="6B0F76F1"/>
    <w:rsid w:val="6BCA0C65"/>
    <w:rsid w:val="6BEC2641"/>
    <w:rsid w:val="6CB467A2"/>
    <w:rsid w:val="6D09530C"/>
    <w:rsid w:val="6DA458E2"/>
    <w:rsid w:val="6DBF7236"/>
    <w:rsid w:val="6E3974D0"/>
    <w:rsid w:val="6F646B85"/>
    <w:rsid w:val="6FD40790"/>
    <w:rsid w:val="72012D7B"/>
    <w:rsid w:val="72275320"/>
    <w:rsid w:val="727367B7"/>
    <w:rsid w:val="72E651DB"/>
    <w:rsid w:val="75E34062"/>
    <w:rsid w:val="75E71591"/>
    <w:rsid w:val="75F66E74"/>
    <w:rsid w:val="7903622B"/>
    <w:rsid w:val="7B647B1E"/>
    <w:rsid w:val="7C1A74F0"/>
    <w:rsid w:val="7C8C0A8D"/>
    <w:rsid w:val="7DDC4C8B"/>
    <w:rsid w:val="7DEA7A36"/>
    <w:rsid w:val="7E7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position w:val="0"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Block Text"/>
    <w:basedOn w:val="1"/>
    <w:autoRedefine/>
    <w:qFormat/>
    <w:uiPriority w:val="0"/>
    <w:pPr>
      <w:widowControl/>
      <w:ind w:left="-90" w:right="-108"/>
    </w:pPr>
    <w:rPr>
      <w:kern w:val="0"/>
      <w:sz w:val="22"/>
      <w:szCs w:val="20"/>
      <w:lang w:val="en-GB" w:eastAsia="en-US"/>
    </w:rPr>
  </w:style>
  <w:style w:type="paragraph" w:styleId="5">
    <w:name w:val="endnote text"/>
    <w:basedOn w:val="1"/>
    <w:autoRedefine/>
    <w:qFormat/>
    <w:uiPriority w:val="0"/>
    <w:pPr>
      <w:snapToGrid w:val="0"/>
      <w:jc w:val="left"/>
    </w:pPr>
  </w:style>
  <w:style w:type="paragraph" w:styleId="6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semiHidden/>
    <w:unhideWhenUsed/>
    <w:qFormat/>
    <w:uiPriority w:val="99"/>
    <w:rPr>
      <w:sz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autoRedefine/>
    <w:qFormat/>
    <w:uiPriority w:val="0"/>
  </w:style>
  <w:style w:type="character" w:styleId="14">
    <w:name w:val="Hyperlink"/>
    <w:basedOn w:val="12"/>
    <w:autoRedefine/>
    <w:semiHidden/>
    <w:unhideWhenUsed/>
    <w:qFormat/>
    <w:uiPriority w:val="99"/>
    <w:rPr>
      <w:color w:val="0000FF"/>
      <w:u w:val="single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8"/>
    <w:autoRedefine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D8D8A2-3474-461D-8816-72371A1815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1809</Words>
  <Characters>2069</Characters>
  <Lines>4</Lines>
  <Paragraphs>1</Paragraphs>
  <TotalTime>13</TotalTime>
  <ScaleCrop>false</ScaleCrop>
  <LinksUpToDate>false</LinksUpToDate>
  <CharactersWithSpaces>2142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2019-12-05T07:44:00Z</dcterms:created>
  <dc:creator>Users</dc:creator>
  <cp:lastModifiedBy>小冰</cp:lastModifiedBy>
  <cp:lastPrinted>2024-04-03T01:52:00Z</cp:lastPrinted>
  <dcterms:modified xsi:type="dcterms:W3CDTF">2024-04-03T01:56:36Z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8456F68F6DD049B2ABDAEE3EB848C6DF_13</vt:lpwstr>
  </property>
</Properties>
</file>