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一、</w:t>
      </w:r>
      <w:bookmarkStart w:id="20" w:name="_GoBack"/>
      <w:bookmarkEnd w:id="2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概述：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根据黑龙江乌苏里江制药有限公司哈尔滨分公司新项目要求，拟购置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高效湿法混合制粒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机1台，项目要求该设备需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da-DK" w:eastAsia="zh-CN" w:bidi="ar"/>
        </w:rPr>
        <w:t>符合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新版GMP的要求，满足生产使用及工艺需求。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此文件将作为设备进行竞争性招标的基础标准。主要包括用户对该设备的质量要求（GMP）、功能要求、结构配置要求、系统控制及安全要求，并符合相关法规的具体需求及期望。设备生产商应在满足本需求的前提下，提供更高标准、更高质量、更加完善的设备以及相关服务。同时必须指出该标准与实际标准的不符之处，及可接受的质量标准。共同完成对该设备总体要求及标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供方负责供货、安装及设备调试运行至验收合格，以及设备操作人员的培训至熟练操作。需方负责提供系统运行所需要的公用工程（水、电、气、汽等）。供方提供相关技术资料（设计依据、使用说明、产品合格证、材质证明、验证文件、外购件资料等）。</w:t>
      </w:r>
    </w:p>
    <w:tbl>
      <w:tblPr>
        <w:tblStyle w:val="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541"/>
        <w:gridCol w:w="1701"/>
        <w:gridCol w:w="1796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高效湿法混合制粒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容积100L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SUS304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二、招标内容：</w:t>
      </w:r>
    </w:p>
    <w:p>
      <w:pPr>
        <w:pStyle w:val="2"/>
        <w:numPr>
          <w:ilvl w:val="0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251133755"/>
      <w:bookmarkStart w:id="1" w:name="_Toc251134217"/>
      <w:bookmarkStart w:id="2" w:name="_Toc252547858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设备标准</w:t>
      </w:r>
      <w:bookmarkEnd w:id="0"/>
      <w:bookmarkEnd w:id="1"/>
      <w:bookmarkEnd w:id="2"/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/>
        </w:rPr>
      </w:pPr>
      <w:bookmarkStart w:id="3" w:name="_Toc251134220"/>
      <w:bookmarkStart w:id="4" w:name="_Toc251133758"/>
      <w:bookmarkStart w:id="5" w:name="_Toc251134221"/>
      <w:bookmarkStart w:id="6" w:name="_Toc251133759"/>
      <w:bookmarkStart w:id="7" w:name="_Toc252547859"/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高效湿法混合制粒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除本URS特殊要求外，须满足中国GMP (2010年修订)和行业相关法规要求，中国安全环保法规。必须符合以下标准、规范及其他相关行业标准（但不限于此，有新版本的按最新版本执行）：</w:t>
      </w:r>
    </w:p>
    <w:bookmarkEnd w:id="3"/>
    <w:bookmarkEnd w:id="4"/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="Arial" w:hAnsi="Arial" w:eastAsia="楷体_GB2312" w:cs="Arial"/>
          <w:sz w:val="24"/>
          <w:szCs w:val="24"/>
        </w:rPr>
        <w:t>J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B20015－2004 《湿法混合制粒机》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GB-52261-2002 机械安全机械电气设备第一部分通用技术条件 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 xml:space="preserve">GB-8196-87 机械设计防护罩安全要求  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GB-12265-90 机械防护安全要求</w:t>
      </w:r>
    </w:p>
    <w:p>
      <w:pPr>
        <w:pStyle w:val="2"/>
        <w:numPr>
          <w:ilvl w:val="0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>一般描述</w:t>
      </w:r>
      <w:bookmarkEnd w:id="5"/>
      <w:bookmarkEnd w:id="6"/>
      <w:bookmarkEnd w:id="7"/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bookmarkStart w:id="8" w:name="_Toc251134222"/>
      <w:bookmarkStart w:id="9" w:name="_Toc251133760"/>
      <w:bookmarkStart w:id="10" w:name="_Toc252547860"/>
      <w:r>
        <w:rPr>
          <w:rFonts w:hint="eastAsia"/>
          <w:color w:val="000000"/>
          <w:sz w:val="24"/>
        </w:rPr>
        <w:t>将几种主粉状物料加入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高效湿法混合制粒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机</w:t>
      </w:r>
      <w:r>
        <w:rPr>
          <w:rFonts w:hint="eastAsia"/>
          <w:color w:val="000000"/>
          <w:sz w:val="24"/>
        </w:rPr>
        <w:t>后，经过混合到均匀后通过设备辅机加入辅料，通过设备的混合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</w:rPr>
        <w:t>剪切制成潮湿颗粒后排出设备料仓。</w:t>
      </w:r>
    </w:p>
    <w:bookmarkEnd w:id="8"/>
    <w:bookmarkEnd w:id="9"/>
    <w:bookmarkEnd w:id="10"/>
    <w:p>
      <w:pPr>
        <w:pStyle w:val="2"/>
        <w:numPr>
          <w:ilvl w:val="0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1" w:name="_Toc252547861"/>
      <w:bookmarkStart w:id="12" w:name="_Toc251133761"/>
      <w:bookmarkStart w:id="13" w:name="_Toc251134223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用户及系统要求</w:t>
      </w:r>
      <w:bookmarkEnd w:id="11"/>
      <w:bookmarkEnd w:id="12"/>
      <w:bookmarkEnd w:id="13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 xml:space="preserve"> </w:t>
      </w:r>
    </w:p>
    <w:p>
      <w:pPr>
        <w:pStyle w:val="2"/>
        <w:numPr>
          <w:ilvl w:val="1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4" w:name="_Toc251133762"/>
      <w:bookmarkStart w:id="15" w:name="_Toc252547862"/>
      <w:bookmarkStart w:id="16" w:name="_Toc251134224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概述</w:t>
      </w:r>
      <w:bookmarkEnd w:id="14"/>
      <w:bookmarkEnd w:id="15"/>
      <w:bookmarkEnd w:id="16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 xml:space="preserve"> </w:t>
      </w:r>
    </w:p>
    <w:tbl>
      <w:tblPr>
        <w:tblStyle w:val="13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7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8" w:type="dxa"/>
            <w:tcBorders>
              <w:top w:val="single" w:color="auto" w:sz="12" w:space="0"/>
            </w:tcBorders>
            <w:shd w:val="clear" w:color="auto" w:fill="E0E0E0"/>
            <w:noWrap w:val="0"/>
            <w:vAlign w:val="center"/>
          </w:tcPr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缩  写</w:t>
            </w:r>
          </w:p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Abbreviation</w:t>
            </w:r>
          </w:p>
        </w:tc>
        <w:tc>
          <w:tcPr>
            <w:tcW w:w="7831" w:type="dxa"/>
            <w:tcBorders>
              <w:top w:val="single" w:color="auto" w:sz="12" w:space="0"/>
            </w:tcBorders>
            <w:shd w:val="clear" w:color="auto" w:fill="E0E0E0"/>
            <w:noWrap w:val="0"/>
            <w:vAlign w:val="center"/>
          </w:tcPr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定  义</w:t>
            </w:r>
          </w:p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Definition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FAT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Factory Acceptance Test出厂验收测试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GAMP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Good Automated Manufacturing Practices良好的自动生产规范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GMP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Good Manufacturing Practices药品生产质量管理规范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DQ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Design Qualification设计确认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IQ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Installation Qualification安装确认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OQ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Operational Qualification运行确认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Performance Qualification性能确认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CV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Computer Validation计算机系统确认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QA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Quality Assurance质量保证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P&amp;ID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Process and Instrument Diagram.工艺流程图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PLC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Programmable Logic Controller可编程逻辑控制器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SAT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Site Acceptance Test现场验收测试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SOP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Standard Operating Procedures标准操作规程</w:t>
            </w:r>
          </w:p>
        </w:tc>
      </w:tr>
    </w:tbl>
    <w:p>
      <w:pPr>
        <w:pStyle w:val="3"/>
        <w:spacing w:before="156" w:after="156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需求标准</w:t>
      </w:r>
    </w:p>
    <w:p>
      <w:pPr>
        <w:pStyle w:val="4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GB" w:eastAsia="it-IT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GB" w:eastAsia="it-IT" w:bidi="ar-SA"/>
        </w:rPr>
        <w:t>设备应符合以下规定，但并不限于以下内容，制造商可根据自身企业特点给出更合理的优化建议。</w:t>
      </w:r>
    </w:p>
    <w:p>
      <w:pPr>
        <w:pStyle w:val="3"/>
        <w:spacing w:before="156" w:after="156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.1 生产能力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936"/>
        <w:gridCol w:w="1350"/>
        <w:gridCol w:w="1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101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93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5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11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设备能力产能不低于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Kg/批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视原粉比重而定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color w:val="auto"/>
                <w:sz w:val="21"/>
                <w:szCs w:val="21"/>
                <w:lang w:val="en-US" w:eastAsia="zh-CN"/>
              </w:rPr>
              <w:t>料仓容积≥100L（有效容积是：料仓容积</w:t>
            </w:r>
            <w:r>
              <w:rPr>
                <w:rFonts w:hint="eastAsia" w:asciiTheme="minorEastAsia" w:hAnsiTheme="minorEastAsia" w:cstheme="minorEastAsia"/>
                <w:cap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aps/>
                <w:color w:val="auto"/>
                <w:sz w:val="21"/>
                <w:szCs w:val="21"/>
                <w:lang w:val="en-US" w:eastAsia="zh-CN"/>
              </w:rPr>
              <w:t>0%-80%）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021"/>
                <w:tab w:val="left" w:pos="848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16" w:leftChars="0" w:right="142" w:rightChars="0" w:hanging="16" w:hangingChars="8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color w:val="auto"/>
                <w:sz w:val="21"/>
                <w:szCs w:val="21"/>
                <w:lang w:val="en-US" w:eastAsia="zh-CN"/>
              </w:rPr>
              <w:t>混合速度20-120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  <w:lang w:val="en-US" w:eastAsia="zh-CN"/>
              </w:rPr>
              <w:t>rpm可调；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021"/>
                <w:tab w:val="left" w:pos="848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16" w:leftChars="0" w:right="142" w:rightChars="0" w:hanging="16" w:hangingChars="8"/>
              <w:jc w:val="left"/>
              <w:rPr>
                <w:rFonts w:hint="eastAsia" w:asciiTheme="minorEastAsia" w:hAnsiTheme="minorEastAsia" w:eastAsiaTheme="minorEastAsia" w:cstheme="minorEastAsia"/>
                <w:cap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  <w:lang w:val="en-US" w:eastAsia="zh-CN"/>
              </w:rPr>
              <w:t>切割速度1000～2000rpm可调；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021"/>
                <w:tab w:val="left" w:pos="848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00" w:lineRule="exact"/>
              <w:ind w:left="16" w:leftChars="0" w:right="142" w:rightChars="0" w:hanging="16" w:hangingChars="8"/>
              <w:jc w:val="left"/>
              <w:rPr>
                <w:rFonts w:hint="default" w:asciiTheme="minorEastAsia" w:hAnsiTheme="minorEastAsia" w:eastAsiaTheme="minorEastAsia" w:cstheme="minorEastAsia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  <w:lang w:val="en-US" w:eastAsia="zh-CN"/>
              </w:rPr>
              <w:t>该设备加浆可以通过料斗人工加浆</w:t>
            </w:r>
            <w:r>
              <w:rPr>
                <w:rFonts w:hint="eastAsia" w:asciiTheme="minorEastAsia" w:hAnsiTheme="minorEastAsia" w:cstheme="minorEastAsia"/>
                <w:b w:val="0"/>
                <w:color w:val="auto"/>
                <w:sz w:val="21"/>
                <w:szCs w:val="21"/>
                <w:lang w:val="en-US" w:eastAsia="zh-CN"/>
              </w:rPr>
              <w:t>；（压力罐加浆接口预留，后期选装，所需备件清单列出）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.2</w:t>
      </w:r>
      <w:bookmarkStart w:id="17" w:name="_Toc183509266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工艺性能</w:t>
      </w:r>
      <w:bookmarkEnd w:id="17"/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92"/>
        <w:gridCol w:w="1305"/>
        <w:gridCol w:w="12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792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0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8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center"/>
          </w:tcPr>
          <w:p>
            <w:pPr>
              <w:pStyle w:val="25"/>
              <w:spacing w:before="0" w:after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aps/>
                <w:kern w:val="2"/>
                <w:sz w:val="21"/>
                <w:szCs w:val="21"/>
                <w:lang w:eastAsia="zh-CN"/>
              </w:rPr>
              <w:t>混合物料：XX目；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center"/>
          </w:tcPr>
          <w:p>
            <w:pPr>
              <w:pStyle w:val="25"/>
              <w:spacing w:before="0" w:after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aps/>
                <w:kern w:val="2"/>
                <w:sz w:val="21"/>
                <w:szCs w:val="21"/>
                <w:lang w:eastAsia="zh-CN"/>
              </w:rPr>
              <w:t>粉体密度：X；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  <w:lang w:eastAsia="zh-CN"/>
              </w:rPr>
              <w:t>锅体上仓盖</w:t>
            </w: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盖好后，密封好，工作时不得漏粉尘。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  <w:lang w:eastAsia="zh-CN"/>
              </w:rPr>
              <w:t>锅体上仓盖</w:t>
            </w: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打开时，</w:t>
            </w: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  <w:lang w:eastAsia="zh-CN"/>
              </w:rPr>
              <w:t>锅体上仓盖</w:t>
            </w: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内壁上沾附的物料不得掉落于料缸外。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提供符合要求的切刀，可拆卸，便于更换和维护。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制粒刀轴密封采用机械密封和气封方式，气封与切刀的动作进行联锁，即没有气体或者气压不够时，切刀不能转动。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制粒刀轴密封处可进行在线清洗。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主搅拌桨可拆卸，便于维护。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主搅拌桨的结构设计必须考虑到物料不会堆积在锅底和死角。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主搅拌桨轴密封处可进行在线清洗。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主搅拌桨桨叶距离锅底间距在0.5~1.5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，确保不能在锅底形成一层膜。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主搅拌桨桨叶距离锅侧面的间隙距离设置合理，在2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mm</w:t>
            </w: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以内，不能在侧面形成一层膜，影响制粒的效果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在出料模式时，可以调整搅拌桨转速，进行出料。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主搅拌桨密封采用机械密封和气封方式，气封与主搅拌桨的动作进行联锁，即没有气体或者气压不够时，主搅拌桨不能转动。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出料阀开度通过气缸控制。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出料阀安装在锅的侧面靠近底部，此系统必须保证在每批生产结束后，锅内少于1% 的残留。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所有设备、备品备件、专用工具必须是新的未曾用过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针对设备，提供一套设备维修专用工具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与产品接触或间接接触的压缩空气应为洁净压缩空气。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连接楼梯与机身，上表面焊接冲压花纹不锈钢板，外表用304不锈钢板外罩封闭，悬空侧用304不锈钢圆管扶手，保证安全。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悬空部位设护栏，应采用304不锈钢圆管焊接，抛光制造，结构为立柱加横档结构，使用安全；立柱用螺钉固定在机身台板面上，拐角处采用快装卡箍连接，拆卸方便。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用于密封的部件应该易于更换和重新安装。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具有终点判定功能。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搅拌轴的设计应能承受不同方向的受力，确保搅拌桨工作时不与缸底刮擦。搅拌桨与缸底间隙均匀小于2mm。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制粒机缸体内不得有搅拌桨和制粒刀转轴支承体的油污渗入。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搅拌桨和切碎刀采用气动密封技术，防止制粒过程中物料粉尘进入轴根部位，并具备气水装换功能。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切刀采用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多把叠放形式，可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变频调速。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搅拌桨和切碎刀，防止搅拌桨和切碎刀高速旋转时对轴根密封部件的损坏。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搅拌桨采用后仰角设计，使物料在缸体内形成螺旋状流动状态。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通过人机界面设定控制。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湿法制粒粒机应采用变频调速。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设备应有三级权限功能。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控制电机应采用国际/国内优质品牌。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整机设备应运行平稳。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转动部位要经过动平衡检测。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设备配备开关盖的限位开关。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设备与产品接触部分选用304不锈钢材质。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内壁抛光，粗糙度Ra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0.8μm；所有拐角圆弧过渡（R≥10mm）或采用不低于135度倒角过渡。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搅拌桨和锅壁的设计应避免物料制粒时粘附锅壁和锅盖。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搅拌桨应采用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不锈钢制作，外表面抛光Ra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 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0.8μm。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出料门内壁与料缸内腔吻合，使料缸内腔无死角，易于清洗，物料能够全部排尽。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出料门上盖必须设置相应的安全措施，以确保操作者的安全，如安装接近开关，只有在上盖关闭后设备才能运行；装有机械阀，上盖打开后自动切断出料门，开合气缸气源，防止气缸误操作。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锅体上仓盖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应设置助力系统，降低开盖力，以减轻操作者劳动强度，顶盖开启方式为垂直开启方式，采用良好的密封方式。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锅体上仓盖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上方应配置与进料口，呼吸器，粘合剂喷浆口（在位清洗口）（选项），视镜（带刮板）。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设备在位清洗功能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预留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，清洗球位置及数量合理，应能保证湿法混合制粒机所有部位得到有效的清洗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后期选装，所需备件清单需列出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设备与压缩空气、饮用水、热水和纯化水管路系统的连接接头使用快拆（装）接头。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设备外表面及与物料接触金属材质采用304不锈钢，其余部分采用符合要求的其它材料制成，并提供相关材质证明。且其内表面与物料接触部分光洁度应Ra≤0.4μm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设备支架表面必须耐腐蚀易清洁，外表面进行喷砂处理。设备外罩金属部分采用304不锈钢制造。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所有接触的焊接口进行抛光处理。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.3 控制要求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67"/>
        <w:gridCol w:w="1350"/>
        <w:gridCol w:w="116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67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5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16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it-IT"/>
              </w:rPr>
              <w:t>采用PLC+触摸屏自动控制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it-IT"/>
              </w:rPr>
              <w:t>具有自动控制和手动控制两种方式。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it-IT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出料门开度可调。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搅拌桨转速、出料门开度、联锁控制，确保顺畅出料。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制粒刀采用变频调速控制，并能显示转速。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主搅拌桨采用变频调速控制，并能显示转速。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.4 设备配置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52"/>
        <w:gridCol w:w="1335"/>
        <w:gridCol w:w="119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52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3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19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设备实体：厂家标配。电器部件：厂家标配。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采用西门子或同等品牌PLC，工业PC、触摸屏、交流接触器、变频器。电器元件采用西门子或同等国际品牌。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采用PLC+人机界面控制，集成在控制箱中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人机操作界面采用触摸屏，画面清晰，操作便捷，内置自动、手动可切换控制模式。自动控制模式下，设备能够按照设定的程序自动完成物料混合、加浆、制粒、出料作业，无需操作人员干预。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设备应便于清洁、清洁无死角。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任何与物料接触的部位所用垫圈，密封圈和O形圈只能用药用级聚合材料，例如聚四氟乙烯或硅橡胶。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所有线缆均有标号并有连接线路图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低压接线（24VDC和通讯/信号线路）应与控制盒中的控制电压和较高的电压隔离开。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湿法混合制粒机料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锅体上仓盖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与限位开关互锁；出料口盖板与限位开关互锁。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湿法混合制粒机仓盖与搅拌桨及切碎刀互锁。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操作台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尺寸需确定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和机器顶部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周围安装防护栏，楼梯要有防滑措施。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可储存不少于20组不同物料的工艺参数，使用时直接调用即可。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搅拌桨、制粒刀转速显示准确度须在实际值的±2%内；混合时间、制粒时间显示应准确，满足计量器具要求，可以验证、校验。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可以输入生产信息，自动记录、保存、打印生产记录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带打印机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；可以显示、打印报警信息及提示信息。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所有的焊接口进行抛光处理。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与药品接触不锈钢件部件材质为304。设备外包304不锈钢。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设备与压缩空气、纯化水管路系统的连接接头使用快拆（装）接头。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传动系统传动转动灵活，无卡滞和异常响声，匀速转动。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抛光度Ra≤0.6μm。提供相关材质证明。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设备具备良好的静电接地功能和条件,确保设备产生的静电能够及时泄掉。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电气柜应有防尘、防湿、排热措施。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设备上使用的有可能与物料接触的润滑油，应为食品级，无毒性。使用的普通润滑油不能和产品或可能和产品接触的设备表面接触。供方需完成设备的首次润滑工作。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任何与产品直接接触的设备表面均不能有润滑油泄漏，特别是各运动部件。保证润滑过程无泄漏。不得对产品造成污染。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采用卫生级密封，有防止润滑油等污染罐内物料的措施。不得因密封失效导致容器内的物料受到污染。不得出现锈蚀脱落等情况。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18" w:name="_Toc183509268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.5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da-DK"/>
        </w:rPr>
        <w:t xml:space="preserve"> EHS要求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67"/>
        <w:gridCol w:w="1320"/>
        <w:gridCol w:w="119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67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2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19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设备部位任何不能有锋利的边缘和尖角，以防伤害操作者。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设备应有过载保护、漏电保护装置，当设备功能失调或者故障的情况下，必须配备必要的保护措施保证设备和产品仍然处于安全状态。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距离主机正面1.5m处，设备噪声小于78dB。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应该有防止对室内洁净区和室外环境造成污染的装置或措施。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设备危险可动零部件应装有防护罩。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有接地装置，电气系统的安全性能应符合相应的国家标准。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断电恢复供电后，机器不能自动开机，必须人工启动，以保护人员、设备和产品。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设备设置急停开关，且急停开关应设置在易于操作的位置；设备处于运行状态时，按下急停开关，设备立即停止运转；急停开关复位后，仅在进行复位和启动操作后，设备方可进入运行状态。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设备符合安全、环保要求，机组能够进行可靠的漏电接地和静电接地措施。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bookmarkStart w:id="19" w:name="_Toc183509270"/>
          </w:p>
        </w:tc>
        <w:tc>
          <w:tcPr>
            <w:tcW w:w="6867" w:type="dxa"/>
            <w:noWrap w:val="0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设备功能失调或者故障的情况下，必须配备所有必要的保护措施保证操作人员、设备和产品仍然处于安全状态。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制粒缸顶盖的开启方式设有安全措施，防止操作人员误操作，伤害自己或他人。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紧急停车按钮应位于易于操作者接近的区域。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运转时距离设备1m远的噪音在75db以下。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设备任何部位不能有锋利的边缘和尖角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动力不能自动重启，必须人工操作。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ind w:right="420" w:righ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电力要求：AC380V，3 相5线制，50 Hz。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line="36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da-DK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da-DK"/>
        </w:rPr>
        <w:t>.6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da-DK"/>
        </w:rPr>
        <w:t>公用要求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22"/>
        <w:gridCol w:w="1335"/>
        <w:gridCol w:w="122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22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3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26" w:type="dxa"/>
            <w:tcBorders>
              <w:top w:val="single" w:color="auto" w:sz="18" w:space="0"/>
            </w:tcBorders>
            <w:shd w:val="pct20" w:color="auto" w:fill="FFFFFF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ind w:left="100" w:hanging="105" w:hangingChars="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设备设置在洁净区，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便于搬运安装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6"/>
              <w:spacing w:befor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设备周围应有足够的检修空间。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设备本身及对周围环境无任何污染和损坏。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供方需明确所需水、电、气等公用能源的要求。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设计图纸需甲方最终签字确认。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bookmarkEnd w:id="19"/>
    </w:tbl>
    <w:p>
      <w:pPr>
        <w:widowControl/>
        <w:spacing w:line="48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da-DK"/>
        </w:rPr>
        <w:t>.7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其他要求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859"/>
        <w:gridCol w:w="1320"/>
        <w:gridCol w:w="1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08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59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2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11" w:type="dxa"/>
            <w:tcBorders>
              <w:top w:val="single" w:color="auto" w:sz="18" w:space="0"/>
            </w:tcBorders>
            <w:shd w:val="pct20" w:color="auto" w:fill="FFFFFF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FAT要求：设备制造过程中质量进度关键控制点，必须通知使用方到制造厂进行验收，确认符合要求后方可继续下一道工序制造或组装。若使用方不能亲自到制造厂验收的，也要经使用方的允许方可继续下一道工序制造或组装；设备厂家编写设备的FAT文件，经使用方确认后，负责实施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包装运输要求：包装满足运输和装卸要求，防潮湿、防磕碰、防振动；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运输实际包含在供货周期内，供方负责运输，承担运输费用；交货地点：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哈尔滨市平房区渤海路39号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；机器到货清单必须详列每装箱内容物。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安装调试要求：设备到货，拆箱时供应方必须陪同需方人员进行拆箱，如果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应方授权需方自行拆箱，拆箱后发现设备及所有附件有任何损坏、缺失，供应方应负全责。机器订购后供应商需负责到货运送，由需方负责搬运、吊装及 安装,安装期间供应商至少需有一人全程配合。设备到货我公司通知供应方来厂安装日期起，应在于10个自然日内完成安装并试车完毕。供应方进厂施工必须遵守需方的施工规则施工，以及遵守我公司的各项规章制度。本公司负责按照安装施工图纸上标识的公用系统需求安装到位，设备连接及内部系统均有供货厂家负责安装连接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供货周期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FAT合格后，预付款到发货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运输时间包含在供货周期内，供方负责运输，并承担运输费用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需求方2人去FAT，供方提供食宿。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培训要求：供方负责对技术管理人员、操作人员、维修人员进行结构原理、性能、操作、维修、故障排除等知识的培训，使我方人员达到一定熟练程度，由双方人员认可。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质量保证：设备保修期限不得少于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年。</w:t>
            </w:r>
          </w:p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质保期内，自设备安装调试验收合格之日12个月 。设备在质保期内如发现质量问题及故障，卖方收到买方的函、电后，在 48 小时内及时派人到现场处理，实行三包服务，免费维修，损坏的零部件全部免费更换，设备不能维修的免费更换；不能更换的，卖方应返还买方已经支付的相应合同价款，并承担相应损失，或由买方直接在质保金中相应的扣除。紧急情况时，卖方在 24小时内到达维修现场，实行三包服务。</w:t>
            </w:r>
          </w:p>
          <w:p>
            <w:pPr>
              <w:ind w:left="1050" w:left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质保期外：继续提供免费上门服务，有偿提供设备所需配件（主要配件价格按本合同“易损件清单及价格表”文件内配件清单）。如发现质量问题及故障，卖方收到买方的函、电后，在48小时内及时派人到现场处理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备品备件：提供设备所有易损件明细（包括所有的密封圈和润滑油规格），根据明细可在市场上购买。</w:t>
            </w:r>
          </w:p>
          <w:p>
            <w:pPr>
              <w:ind w:left="1155" w:leftChars="500" w:hanging="105" w:hangingChars="5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提供设备易损件一套。同时提供备件清单和备件单价。</w:t>
            </w:r>
          </w:p>
        </w:tc>
        <w:tc>
          <w:tcPr>
            <w:tcW w:w="1320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bottom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aps/>
          <w:sz w:val="21"/>
          <w:szCs w:val="21"/>
          <w:lang w:val="en-GB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caps/>
          <w:sz w:val="21"/>
          <w:szCs w:val="21"/>
        </w:rPr>
        <w:t>8 特殊需求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874"/>
        <w:gridCol w:w="1305"/>
        <w:gridCol w:w="1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08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74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0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11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ind w:firstLine="402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该设备设计制造必须满足新版GMP要求。供货方必须承诺在供货范围内不得存在导致无法满足GMP要求的缺欠；如在使用过程中发现无法满足上述规定要求的缺欠，经鉴定为设计或制造问题，供货方必须承诺对该机尽快进行免费设计改造、更换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ind w:firstLine="402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本需求表中基本规格内容，技术数据及参考文件各大项中所提及各项要求供应方提供资料，若有任何问题应于契约制定前先通知我方，在合约上说明，否则各项列入机器到货验收时之依据。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</w:tabs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设备其余配置按厂家标准配置。以厂家提供的技术资料为准。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本URS作为合同的补充条款，作为SAT验收的依据。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运输时间包含在供货周期内，供方负责运输，并承担运输费用。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提供设备源文件。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aps/>
          <w:sz w:val="21"/>
          <w:szCs w:val="21"/>
        </w:rPr>
        <w:t>.9 文件要求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82"/>
        <w:gridCol w:w="1275"/>
        <w:gridCol w:w="122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82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27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26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5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验证文件：设备设计确认（DQ）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设备工厂测试（FAT）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设备现场测试（SAT）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设备验证方案（IQ、OQ、PQ）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FS、DS、部件清单、报警清单、PID图、接线图、电气原理图、电气元件清单等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5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使用资料：设备使用说明书3份</w:t>
            </w:r>
          </w:p>
          <w:p>
            <w:pPr>
              <w:spacing w:line="36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设备维修手册3份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设备标准操作规程 （SOP）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设计、制造证明文件及图纸：设备装箱清单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设备合格证明书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设备电器原理图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设备安装图纸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产品质量用户使用情况反馈单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其他需要的证明文件等资料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cap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sz w:val="21"/>
          <w:szCs w:val="21"/>
          <w:lang w:val="en-US" w:eastAsia="zh-CN"/>
        </w:rPr>
        <w:t>4.10商务要求</w:t>
      </w:r>
    </w:p>
    <w:tbl>
      <w:tblPr>
        <w:tblStyle w:val="13"/>
        <w:tblW w:w="105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6581"/>
        <w:gridCol w:w="1335"/>
        <w:gridCol w:w="12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40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spacing w:before="120" w:after="120"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编号</w:t>
            </w:r>
          </w:p>
        </w:tc>
        <w:tc>
          <w:tcPr>
            <w:tcW w:w="658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spacing w:before="120" w:after="120"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要求内容</w:t>
            </w:r>
          </w:p>
        </w:tc>
        <w:tc>
          <w:tcPr>
            <w:tcW w:w="1335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23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/>
              </w:rPr>
              <w:t>URS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合同签订预付合同总额30%即开始生产，FAT合格后，发货前付合同总额30%款，设备到达指定地点安装SAT合格后，开全款增值税发票入账，再付合同总额30%，余10%作为质保金，质保期两年。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 w:bidi="en-US"/>
              </w:rPr>
              <w:t>期待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/>
              </w:rPr>
              <w:t>URS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合同签订即开始生产，FAT合格后，发货前付合同总额30%款，设备到达指定地点安装SAT合格后，开全款增值税发票入账、余70%款当月开始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，共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分12期支付，质保期两年。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bidi="en-US"/>
              </w:rPr>
              <w:t>必须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jc w:val="center"/>
              <w:rPr>
                <w:rFonts w:hint="default" w:asciiTheme="minorEastAsia" w:hAnsiTheme="minorEastAsia" w:eastAsiaTheme="minorEastAsia" w:cstheme="minorEastAsia"/>
                <w:b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/>
              </w:rPr>
              <w:t>URS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b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投标时提供同行业、同款同系列设备，近一年内合同3份，注明使用单位设备部门或使用部门联系人、联系方式。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GB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bidi="en-US"/>
              </w:rPr>
              <w:t>必须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spacing w:line="48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</w:p>
    <w:p>
      <w:pPr>
        <w:spacing w:line="48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应商对URS中的项目要求条款予以确认，有偏离的做对应的详细说明。</w:t>
      </w:r>
    </w:p>
    <w:p>
      <w:pPr>
        <w:pStyle w:val="19"/>
        <w:snapToGrid w:val="0"/>
        <w:spacing w:before="156" w:beforeLines="50" w:beforeAutospacing="0" w:after="156" w:afterLines="50" w:afterAutospacing="0"/>
        <w:ind w:left="357" w:firstLine="0" w:firstLineChars="0"/>
        <w:jc w:val="center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="Times New Roman" w:cs="宋体"/>
          <w:b/>
          <w:bCs/>
          <w:sz w:val="24"/>
          <w:szCs w:val="24"/>
        </w:rPr>
        <w:t>表</w:t>
      </w:r>
      <w:r>
        <w:rPr>
          <w:rFonts w:hint="eastAsia" w:ascii="Times New Roman" w:cs="Times New Roman"/>
          <w:b/>
          <w:bCs/>
          <w:sz w:val="24"/>
          <w:szCs w:val="24"/>
        </w:rPr>
        <w:t>1</w:t>
      </w:r>
      <w:r>
        <w:rPr>
          <w:rFonts w:ascii="Times New Roman" w:cs="Times New Roman"/>
          <w:b/>
          <w:bCs/>
          <w:sz w:val="24"/>
          <w:szCs w:val="24"/>
        </w:rPr>
        <w:t xml:space="preserve">  </w:t>
      </w:r>
      <w:r>
        <w:rPr>
          <w:rFonts w:ascii="宋体" w:hAnsi="宋体" w:cs="Times New Roman"/>
          <w:b/>
          <w:bCs/>
          <w:sz w:val="24"/>
          <w:szCs w:val="24"/>
        </w:rPr>
        <w:t>URS</w:t>
      </w:r>
      <w:r>
        <w:rPr>
          <w:rFonts w:hint="eastAsia" w:ascii="宋体" w:hAnsi="宋体" w:cs="宋体"/>
          <w:b/>
          <w:bCs/>
          <w:sz w:val="24"/>
          <w:szCs w:val="24"/>
        </w:rPr>
        <w:t>偏</w:t>
      </w:r>
      <w:r>
        <w:rPr>
          <w:rFonts w:hint="eastAsia" w:ascii="宋体" w:hAnsi="宋体"/>
          <w:b/>
          <w:sz w:val="24"/>
          <w:szCs w:val="24"/>
        </w:rPr>
        <w:t>离</w:t>
      </w:r>
      <w:r>
        <w:rPr>
          <w:rFonts w:hint="eastAsia" w:ascii="宋体" w:hAnsi="宋体" w:cs="宋体"/>
          <w:b/>
          <w:bCs/>
          <w:sz w:val="24"/>
          <w:szCs w:val="24"/>
        </w:rPr>
        <w:t>汇总表</w:t>
      </w:r>
    </w:p>
    <w:tbl>
      <w:tblPr>
        <w:tblStyle w:val="13"/>
        <w:tblW w:w="10563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32"/>
        <w:gridCol w:w="2340"/>
        <w:gridCol w:w="5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</w:t>
            </w:r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偏</w:t>
            </w:r>
            <w:r>
              <w:rPr>
                <w:rFonts w:hint="eastAsia" w:ascii="宋体" w:hAnsi="宋体"/>
                <w:sz w:val="24"/>
                <w:szCs w:val="24"/>
              </w:rPr>
              <w:t>离</w:t>
            </w:r>
            <w:r>
              <w:rPr>
                <w:rFonts w:hint="eastAsia" w:cs="宋体"/>
                <w:sz w:val="24"/>
                <w:szCs w:val="24"/>
              </w:rPr>
              <w:t>项</w:t>
            </w: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偏</w:t>
            </w:r>
            <w:r>
              <w:rPr>
                <w:rFonts w:hint="eastAsia" w:ascii="宋体" w:hAnsi="宋体"/>
                <w:sz w:val="24"/>
                <w:szCs w:val="24"/>
              </w:rPr>
              <w:t>离说明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ind w:left="1" w:leftChars="-171" w:hanging="360" w:hangingChars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三、结款方式：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结算方式：电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四、投标人资质要求：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1、投标单位应具有法人营业执照、税务登记证、组织机构代码证等资质文件（复印件加盖红章）。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2、各投标单位需提供售后服务相关事宜文件。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3、投标单位应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具有制药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机械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制造、维修、经营资质,注册资金100万元以上。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3.1. 投标单位一般情况表。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3.2. 法人授权委托书（加盖红章）。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3.3. 法人营业执照（复印件加盖红章）。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    4.报价单，一口价（报价单加盖红章）报价单格式附件。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五、日程安排：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1、投标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标书，一正两副共三本，含技术和商务部分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时间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、地址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：请于202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日12:00前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邮寄至黑龙江省哈尔滨市平房区渤海路39号，乌苏里江制药有限公司哈尔滨分公司 翟芯宇（收） 13199638798，未收到或未在规定时间内收到标书，视为放弃投标。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3、快递脱皮后，标书应有独立包装，包装外表面明显位置设置标识，标注设备厂家名称，项目标书、联系人、电话等信息，开标时统一开启。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、开标时间：202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日13:00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投标联系人: 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翟芯宇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        联系电话：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13199638798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技术答疑人：周宝双               联系电话：13936675940</w:t>
      </w:r>
    </w:p>
    <w:p>
      <w:pPr>
        <w:pStyle w:val="18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ind w:firstLine="3614" w:firstLineChars="1000"/>
        <w:jc w:val="both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highlight w:val="none"/>
        </w:rPr>
        <w:t>报 价 单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）</w:t>
      </w:r>
    </w:p>
    <w:tbl>
      <w:tblPr>
        <w:tblStyle w:val="13"/>
        <w:tblpPr w:leftFromText="180" w:rightFromText="180" w:vertAnchor="text" w:horzAnchor="page" w:tblpX="1165" w:tblpY="613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1188"/>
        <w:gridCol w:w="839"/>
        <w:gridCol w:w="1446"/>
        <w:gridCol w:w="1020"/>
        <w:gridCol w:w="106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（金额）</w:t>
            </w:r>
          </w:p>
        </w:tc>
        <w:tc>
          <w:tcPr>
            <w:tcW w:w="449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jc w:val="left"/>
        <w:rPr>
          <w:rFonts w:hint="eastAsia" w:ascii="宋体" w:hAnsi="宋体" w:cs="宋体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highlight w:val="none"/>
          <w:lang w:val="en-US" w:eastAsia="zh-CN"/>
        </w:rPr>
        <w:t>URS113要求分期付款模式：</w:t>
      </w:r>
    </w:p>
    <w:p>
      <w:pPr>
        <w:spacing w:line="500" w:lineRule="exact"/>
        <w:rPr>
          <w:rFonts w:hint="eastAsia" w:ascii="宋体" w:hAnsi="宋体" w:cs="宋体"/>
          <w:b/>
          <w:color w:val="000000"/>
          <w:sz w:val="28"/>
          <w:szCs w:val="28"/>
          <w:highlight w:val="none"/>
          <w:lang w:val="en-US" w:eastAsia="zh-CN"/>
        </w:rPr>
      </w:pPr>
    </w:p>
    <w:p>
      <w:pPr>
        <w:spacing w:line="500" w:lineRule="exact"/>
        <w:rPr>
          <w:rFonts w:hint="default" w:ascii="宋体" w:hAnsi="宋体" w:cs="宋体"/>
          <w:b/>
          <w:color w:val="000000"/>
          <w:sz w:val="28"/>
          <w:szCs w:val="28"/>
          <w:highlight w:val="none"/>
          <w:lang w:val="en-US" w:eastAsia="zh-CN"/>
        </w:rPr>
      </w:pPr>
    </w:p>
    <w:p>
      <w:pPr>
        <w:spacing w:line="500" w:lineRule="exact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  <w:t>报价单位：</w:t>
      </w: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联系人：</w:t>
      </w: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联系电话：</w:t>
      </w:r>
    </w:p>
    <w:p>
      <w:pPr>
        <w:spacing w:line="500" w:lineRule="exact"/>
        <w:ind w:firstLine="2570" w:firstLineChars="800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  <w:t>年   月   日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ind w:firstLine="3614" w:firstLineChars="1000"/>
        <w:jc w:val="both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highlight w:val="none"/>
        </w:rPr>
        <w:t>报 价 单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）</w:t>
      </w:r>
    </w:p>
    <w:tbl>
      <w:tblPr>
        <w:tblStyle w:val="13"/>
        <w:tblpPr w:leftFromText="180" w:rightFromText="180" w:vertAnchor="text" w:horzAnchor="page" w:tblpX="1165" w:tblpY="613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1188"/>
        <w:gridCol w:w="839"/>
        <w:gridCol w:w="1446"/>
        <w:gridCol w:w="1020"/>
        <w:gridCol w:w="106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（金额）</w:t>
            </w:r>
          </w:p>
        </w:tc>
        <w:tc>
          <w:tcPr>
            <w:tcW w:w="449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jc w:val="both"/>
        <w:rPr>
          <w:rFonts w:hint="default" w:asciiTheme="minorEastAsia" w:hAnsiTheme="minorEastAsia" w:eastAsiaTheme="minorEastAsia" w:cs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highlight w:val="none"/>
          <w:lang w:val="en-US" w:eastAsia="zh-CN"/>
        </w:rPr>
        <w:t>URS114要求付款模式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highlight w:val="none"/>
          <w:lang w:val="en-US" w:eastAsia="zh-CN"/>
        </w:rPr>
        <w:t>：</w:t>
      </w:r>
    </w:p>
    <w:p>
      <w:pPr>
        <w:spacing w:line="500" w:lineRule="exact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  <w:t>报价单位：</w:t>
      </w: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联系人：</w:t>
      </w: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联系电话：</w:t>
      </w:r>
    </w:p>
    <w:p>
      <w:pPr>
        <w:spacing w:line="500" w:lineRule="exact"/>
        <w:ind w:firstLine="2570" w:firstLineChars="800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  <w:t>年   月   日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  <w:rPr>
        <w:rFonts w:ascii="楷体_GB2312" w:eastAsia="楷体_GB2312"/>
        <w:color w:val="000000"/>
        <w:lang w:eastAsia="zh-CN"/>
      </w:rPr>
    </w:pPr>
    <w:r>
      <w:rPr>
        <w:rFonts w:hint="eastAsia" w:ascii="楷体_GB2312" w:eastAsia="楷体_GB2312"/>
        <w:color w:val="000000"/>
        <w:lang w:val="en-US" w:eastAsia="zh-CN"/>
      </w:rPr>
      <w:t>黑龙江乌苏里江制药有限公司哈尔滨分公司</w:t>
    </w:r>
    <w:r>
      <w:rPr>
        <w:rFonts w:hint="eastAsia" w:ascii="楷体_GB2312" w:eastAsia="楷体_GB2312"/>
        <w:color w:val="000000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B3B27"/>
    <w:multiLevelType w:val="multilevel"/>
    <w:tmpl w:val="063B3B27"/>
    <w:lvl w:ilvl="0" w:tentative="0">
      <w:start w:val="1"/>
      <w:numFmt w:val="decimalZero"/>
      <w:lvlText w:val="URS%1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  <w:sz w:val="21"/>
        <w:szCs w:val="21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774285D"/>
    <w:multiLevelType w:val="multilevel"/>
    <w:tmpl w:val="6774285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GFmZmZiNDVkOWQxYjljODQzZDhhZjVlNTQ3ODQifQ=="/>
  </w:docVars>
  <w:rsids>
    <w:rsidRoot w:val="0086605E"/>
    <w:rsid w:val="00003F19"/>
    <w:rsid w:val="000454F8"/>
    <w:rsid w:val="00054F5E"/>
    <w:rsid w:val="000558E3"/>
    <w:rsid w:val="000B2F2A"/>
    <w:rsid w:val="000E642F"/>
    <w:rsid w:val="000F59D1"/>
    <w:rsid w:val="001060B1"/>
    <w:rsid w:val="0010664E"/>
    <w:rsid w:val="001140C2"/>
    <w:rsid w:val="00130676"/>
    <w:rsid w:val="00136F46"/>
    <w:rsid w:val="001A34FA"/>
    <w:rsid w:val="001A46D0"/>
    <w:rsid w:val="00226B8D"/>
    <w:rsid w:val="00264EAA"/>
    <w:rsid w:val="00272397"/>
    <w:rsid w:val="002952CA"/>
    <w:rsid w:val="002A24B9"/>
    <w:rsid w:val="002C094E"/>
    <w:rsid w:val="002F6E9F"/>
    <w:rsid w:val="00304156"/>
    <w:rsid w:val="00353F08"/>
    <w:rsid w:val="003A782B"/>
    <w:rsid w:val="003C58C7"/>
    <w:rsid w:val="003C60F7"/>
    <w:rsid w:val="003F36CA"/>
    <w:rsid w:val="0041494A"/>
    <w:rsid w:val="004244DC"/>
    <w:rsid w:val="004252E6"/>
    <w:rsid w:val="004864CE"/>
    <w:rsid w:val="004A6E70"/>
    <w:rsid w:val="004C6339"/>
    <w:rsid w:val="004E1517"/>
    <w:rsid w:val="004F5B1D"/>
    <w:rsid w:val="0051080A"/>
    <w:rsid w:val="00525BC0"/>
    <w:rsid w:val="00535349"/>
    <w:rsid w:val="00542093"/>
    <w:rsid w:val="0056511F"/>
    <w:rsid w:val="00572EDB"/>
    <w:rsid w:val="005D0944"/>
    <w:rsid w:val="00624AE6"/>
    <w:rsid w:val="00635E97"/>
    <w:rsid w:val="00637DC9"/>
    <w:rsid w:val="006603B2"/>
    <w:rsid w:val="006C5532"/>
    <w:rsid w:val="006E7C3E"/>
    <w:rsid w:val="00707A92"/>
    <w:rsid w:val="00723590"/>
    <w:rsid w:val="00751757"/>
    <w:rsid w:val="00782F4C"/>
    <w:rsid w:val="007957F7"/>
    <w:rsid w:val="007B2F45"/>
    <w:rsid w:val="007E6F36"/>
    <w:rsid w:val="008011EE"/>
    <w:rsid w:val="0086605E"/>
    <w:rsid w:val="008677EB"/>
    <w:rsid w:val="008F27C0"/>
    <w:rsid w:val="00900A01"/>
    <w:rsid w:val="0093451E"/>
    <w:rsid w:val="00936FB2"/>
    <w:rsid w:val="00943FD1"/>
    <w:rsid w:val="00946ECE"/>
    <w:rsid w:val="00982381"/>
    <w:rsid w:val="00986B42"/>
    <w:rsid w:val="009B6C38"/>
    <w:rsid w:val="009C52F0"/>
    <w:rsid w:val="009D6639"/>
    <w:rsid w:val="009D7931"/>
    <w:rsid w:val="009E6A69"/>
    <w:rsid w:val="00A6154B"/>
    <w:rsid w:val="00A963F3"/>
    <w:rsid w:val="00AE2B1A"/>
    <w:rsid w:val="00BC3A77"/>
    <w:rsid w:val="00BD7CDF"/>
    <w:rsid w:val="00BF3D0D"/>
    <w:rsid w:val="00C100BC"/>
    <w:rsid w:val="00C10C93"/>
    <w:rsid w:val="00C53270"/>
    <w:rsid w:val="00C65E07"/>
    <w:rsid w:val="00C770F9"/>
    <w:rsid w:val="00C77B85"/>
    <w:rsid w:val="00D117D5"/>
    <w:rsid w:val="00D33FF4"/>
    <w:rsid w:val="00D34670"/>
    <w:rsid w:val="00D41752"/>
    <w:rsid w:val="00D61649"/>
    <w:rsid w:val="00D653E2"/>
    <w:rsid w:val="00D66857"/>
    <w:rsid w:val="00D81B80"/>
    <w:rsid w:val="00D83181"/>
    <w:rsid w:val="00D9086E"/>
    <w:rsid w:val="00DA3472"/>
    <w:rsid w:val="00DB3549"/>
    <w:rsid w:val="00DC3DBB"/>
    <w:rsid w:val="00DE1F60"/>
    <w:rsid w:val="00DF120E"/>
    <w:rsid w:val="00E01806"/>
    <w:rsid w:val="00E049B0"/>
    <w:rsid w:val="00E53E01"/>
    <w:rsid w:val="00E94E1D"/>
    <w:rsid w:val="00EB4509"/>
    <w:rsid w:val="00ED6B82"/>
    <w:rsid w:val="00F167AC"/>
    <w:rsid w:val="00F24209"/>
    <w:rsid w:val="00F50B50"/>
    <w:rsid w:val="00F53141"/>
    <w:rsid w:val="00F60994"/>
    <w:rsid w:val="00F757B8"/>
    <w:rsid w:val="00F872B2"/>
    <w:rsid w:val="00FA74FF"/>
    <w:rsid w:val="00FC4011"/>
    <w:rsid w:val="011733CC"/>
    <w:rsid w:val="018D0396"/>
    <w:rsid w:val="04111487"/>
    <w:rsid w:val="04532036"/>
    <w:rsid w:val="04857662"/>
    <w:rsid w:val="06EC0CCE"/>
    <w:rsid w:val="082C148A"/>
    <w:rsid w:val="09950675"/>
    <w:rsid w:val="09B74451"/>
    <w:rsid w:val="0AB913D7"/>
    <w:rsid w:val="0ADD6A68"/>
    <w:rsid w:val="0AFA4E47"/>
    <w:rsid w:val="0AFD1DAF"/>
    <w:rsid w:val="0B95521E"/>
    <w:rsid w:val="0BD63A6E"/>
    <w:rsid w:val="0C3C77C2"/>
    <w:rsid w:val="0D800A01"/>
    <w:rsid w:val="0F872F52"/>
    <w:rsid w:val="0FC1070A"/>
    <w:rsid w:val="10103D43"/>
    <w:rsid w:val="118916FB"/>
    <w:rsid w:val="118B7221"/>
    <w:rsid w:val="120E69C5"/>
    <w:rsid w:val="121F3E0E"/>
    <w:rsid w:val="133254CE"/>
    <w:rsid w:val="14CC1ABA"/>
    <w:rsid w:val="161B4691"/>
    <w:rsid w:val="17066305"/>
    <w:rsid w:val="170D368F"/>
    <w:rsid w:val="172C2554"/>
    <w:rsid w:val="181F639E"/>
    <w:rsid w:val="19EF01DB"/>
    <w:rsid w:val="19F32613"/>
    <w:rsid w:val="1BD46C26"/>
    <w:rsid w:val="1CB94315"/>
    <w:rsid w:val="1D691647"/>
    <w:rsid w:val="1DFE1EC3"/>
    <w:rsid w:val="1E555019"/>
    <w:rsid w:val="1E7273C5"/>
    <w:rsid w:val="1E786D7F"/>
    <w:rsid w:val="1F7C50E0"/>
    <w:rsid w:val="1F874085"/>
    <w:rsid w:val="1FA111FD"/>
    <w:rsid w:val="1FDE7F6F"/>
    <w:rsid w:val="1FFB741A"/>
    <w:rsid w:val="21BC0183"/>
    <w:rsid w:val="221435F9"/>
    <w:rsid w:val="24230907"/>
    <w:rsid w:val="2432006F"/>
    <w:rsid w:val="25DF1C60"/>
    <w:rsid w:val="26EB4ACF"/>
    <w:rsid w:val="281C077C"/>
    <w:rsid w:val="29011A33"/>
    <w:rsid w:val="29BC1188"/>
    <w:rsid w:val="29CE019B"/>
    <w:rsid w:val="2A0C6E93"/>
    <w:rsid w:val="2AF220C5"/>
    <w:rsid w:val="2C124152"/>
    <w:rsid w:val="2C127B7E"/>
    <w:rsid w:val="2C5129BE"/>
    <w:rsid w:val="2C7843EE"/>
    <w:rsid w:val="2CCD473A"/>
    <w:rsid w:val="2D622954"/>
    <w:rsid w:val="2FB0122B"/>
    <w:rsid w:val="30361AC7"/>
    <w:rsid w:val="312106EF"/>
    <w:rsid w:val="31251A36"/>
    <w:rsid w:val="324C02A1"/>
    <w:rsid w:val="33344EAD"/>
    <w:rsid w:val="3341727A"/>
    <w:rsid w:val="33573387"/>
    <w:rsid w:val="341E46BE"/>
    <w:rsid w:val="344531D6"/>
    <w:rsid w:val="347D6C38"/>
    <w:rsid w:val="348C2ED8"/>
    <w:rsid w:val="356B18E7"/>
    <w:rsid w:val="367515DD"/>
    <w:rsid w:val="36F707DC"/>
    <w:rsid w:val="381141D6"/>
    <w:rsid w:val="3843297F"/>
    <w:rsid w:val="3BF168F9"/>
    <w:rsid w:val="3C674AF1"/>
    <w:rsid w:val="3C8B5574"/>
    <w:rsid w:val="3D66103F"/>
    <w:rsid w:val="3D956BAE"/>
    <w:rsid w:val="3E5B586C"/>
    <w:rsid w:val="3FFA6E29"/>
    <w:rsid w:val="3FFE1174"/>
    <w:rsid w:val="3FFF03C3"/>
    <w:rsid w:val="419F761A"/>
    <w:rsid w:val="43421586"/>
    <w:rsid w:val="447A4D50"/>
    <w:rsid w:val="451A6E30"/>
    <w:rsid w:val="452E0852"/>
    <w:rsid w:val="46380A1F"/>
    <w:rsid w:val="48A516A1"/>
    <w:rsid w:val="48E91616"/>
    <w:rsid w:val="49566427"/>
    <w:rsid w:val="49706721"/>
    <w:rsid w:val="49E4318E"/>
    <w:rsid w:val="4A367FB7"/>
    <w:rsid w:val="4ABA5EA6"/>
    <w:rsid w:val="4B5A15DC"/>
    <w:rsid w:val="4C856EE7"/>
    <w:rsid w:val="4D2B6849"/>
    <w:rsid w:val="4D2E0486"/>
    <w:rsid w:val="4F6C3615"/>
    <w:rsid w:val="507108E3"/>
    <w:rsid w:val="51F26C90"/>
    <w:rsid w:val="54A278F0"/>
    <w:rsid w:val="56625541"/>
    <w:rsid w:val="571E77BD"/>
    <w:rsid w:val="57B63E99"/>
    <w:rsid w:val="588B2C30"/>
    <w:rsid w:val="5B153D68"/>
    <w:rsid w:val="5B644079"/>
    <w:rsid w:val="5C0E6052"/>
    <w:rsid w:val="5C2F3ECA"/>
    <w:rsid w:val="5DF70395"/>
    <w:rsid w:val="60CA3C24"/>
    <w:rsid w:val="612F6608"/>
    <w:rsid w:val="61DC4E6B"/>
    <w:rsid w:val="620A560F"/>
    <w:rsid w:val="63686D0C"/>
    <w:rsid w:val="637E1A26"/>
    <w:rsid w:val="637F0F7D"/>
    <w:rsid w:val="63861DC3"/>
    <w:rsid w:val="63D319C7"/>
    <w:rsid w:val="63EC289D"/>
    <w:rsid w:val="644A1455"/>
    <w:rsid w:val="64D16B1E"/>
    <w:rsid w:val="64F658D5"/>
    <w:rsid w:val="64FA09C8"/>
    <w:rsid w:val="65CB7739"/>
    <w:rsid w:val="65E572CC"/>
    <w:rsid w:val="65EF2B8A"/>
    <w:rsid w:val="66D2217B"/>
    <w:rsid w:val="675A4DDF"/>
    <w:rsid w:val="67957627"/>
    <w:rsid w:val="68306A99"/>
    <w:rsid w:val="68624E4D"/>
    <w:rsid w:val="68673C57"/>
    <w:rsid w:val="68806828"/>
    <w:rsid w:val="688139F0"/>
    <w:rsid w:val="6A365A66"/>
    <w:rsid w:val="6A71086D"/>
    <w:rsid w:val="6B0F76F1"/>
    <w:rsid w:val="6B2F5F78"/>
    <w:rsid w:val="6B34281B"/>
    <w:rsid w:val="6BCA0C65"/>
    <w:rsid w:val="6CB467A2"/>
    <w:rsid w:val="6DA458E2"/>
    <w:rsid w:val="6DBF7236"/>
    <w:rsid w:val="7086077E"/>
    <w:rsid w:val="71FA3941"/>
    <w:rsid w:val="720F447A"/>
    <w:rsid w:val="72275320"/>
    <w:rsid w:val="72E651DB"/>
    <w:rsid w:val="7390683B"/>
    <w:rsid w:val="75E34062"/>
    <w:rsid w:val="75E71591"/>
    <w:rsid w:val="75F66E74"/>
    <w:rsid w:val="78291D08"/>
    <w:rsid w:val="7903622B"/>
    <w:rsid w:val="79270B1D"/>
    <w:rsid w:val="7C8C0A8D"/>
    <w:rsid w:val="7D3D2785"/>
    <w:rsid w:val="7E33329E"/>
    <w:rsid w:val="7F6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position w:val="0"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5">
    <w:name w:val="Block Text"/>
    <w:basedOn w:val="1"/>
    <w:autoRedefine/>
    <w:qFormat/>
    <w:uiPriority w:val="0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6">
    <w:name w:val="Date"/>
    <w:basedOn w:val="1"/>
    <w:next w:val="1"/>
    <w:autoRedefine/>
    <w:qFormat/>
    <w:uiPriority w:val="0"/>
  </w:style>
  <w:style w:type="paragraph" w:styleId="7">
    <w:name w:val="endnote text"/>
    <w:basedOn w:val="1"/>
    <w:autoRedefine/>
    <w:qFormat/>
    <w:uiPriority w:val="0"/>
    <w:pPr>
      <w:snapToGrid w:val="0"/>
      <w:jc w:val="left"/>
    </w:pPr>
  </w:style>
  <w:style w:type="paragraph" w:styleId="8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1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autoRedefine/>
    <w:qFormat/>
    <w:uiPriority w:val="0"/>
  </w:style>
  <w:style w:type="character" w:styleId="17">
    <w:name w:val="Hyperlink"/>
    <w:basedOn w:val="15"/>
    <w:autoRedefine/>
    <w:semiHidden/>
    <w:unhideWhenUsed/>
    <w:qFormat/>
    <w:uiPriority w:val="99"/>
    <w:rPr>
      <w:color w:val="0000FF"/>
      <w:u w:val="single"/>
    </w:rPr>
  </w:style>
  <w:style w:type="paragraph" w:customStyle="1" w:styleId="18">
    <w:name w:val="Default"/>
    <w:autoRedefine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页眉 Char"/>
    <w:basedOn w:val="15"/>
    <w:link w:val="10"/>
    <w:autoRedefine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9"/>
    <w:autoRedefine/>
    <w:qFormat/>
    <w:uiPriority w:val="99"/>
    <w:rPr>
      <w:sz w:val="18"/>
      <w:szCs w:val="18"/>
    </w:rPr>
  </w:style>
  <w:style w:type="character" w:customStyle="1" w:styleId="22">
    <w:name w:val="批注框文本 Char"/>
    <w:basedOn w:val="15"/>
    <w:link w:val="8"/>
    <w:autoRedefine/>
    <w:semiHidden/>
    <w:qFormat/>
    <w:uiPriority w:val="99"/>
    <w:rPr>
      <w:sz w:val="18"/>
      <w:szCs w:val="18"/>
    </w:rPr>
  </w:style>
  <w:style w:type="paragraph" w:customStyle="1" w:styleId="23">
    <w:name w:val="firme"/>
    <w:basedOn w:val="1"/>
    <w:autoRedefine/>
    <w:qFormat/>
    <w:uiPriority w:val="0"/>
    <w:pPr>
      <w:widowControl/>
      <w:snapToGrid w:val="0"/>
      <w:spacing w:line="360" w:lineRule="auto"/>
      <w:jc w:val="left"/>
    </w:pPr>
    <w:rPr>
      <w:rFonts w:ascii="Arial Narrow" w:hAnsi="Arial Narrow"/>
      <w:kern w:val="0"/>
      <w:sz w:val="24"/>
      <w:szCs w:val="21"/>
      <w:lang w:val="it-IT" w:eastAsia="it-IT"/>
    </w:rPr>
  </w:style>
  <w:style w:type="paragraph" w:customStyle="1" w:styleId="24">
    <w:name w:val="Heading Left"/>
    <w:basedOn w:val="1"/>
    <w:autoRedefine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lang w:val="en-GB" w:eastAsia="en-US"/>
    </w:rPr>
  </w:style>
  <w:style w:type="paragraph" w:customStyle="1" w:styleId="25">
    <w:name w:val="Table Text"/>
    <w:basedOn w:val="1"/>
    <w:autoRedefine/>
    <w:qFormat/>
    <w:uiPriority w:val="99"/>
    <w:pPr>
      <w:widowControl/>
      <w:spacing w:before="60" w:after="60"/>
      <w:jc w:val="center"/>
    </w:pPr>
    <w:rPr>
      <w:bCs/>
      <w:kern w:val="0"/>
      <w:sz w:val="24"/>
      <w:lang w:eastAsia="en-US"/>
    </w:rPr>
  </w:style>
  <w:style w:type="paragraph" w:customStyle="1" w:styleId="26">
    <w:name w:val="Text"/>
    <w:basedOn w:val="1"/>
    <w:autoRedefine/>
    <w:qFormat/>
    <w:uiPriority w:val="99"/>
    <w:pPr>
      <w:widowControl/>
      <w:spacing w:before="120"/>
    </w:pPr>
    <w:rPr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8D8A2-3474-461D-8816-72371A181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2238</Words>
  <Characters>2592</Characters>
  <Lines>4</Lines>
  <Paragraphs>1</Paragraphs>
  <TotalTime>2</TotalTime>
  <ScaleCrop>false</ScaleCrop>
  <LinksUpToDate>false</LinksUpToDate>
  <CharactersWithSpaces>2692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2019-12-05T07:44:00Z</dcterms:created>
  <dc:creator>Users</dc:creator>
  <cp:lastModifiedBy>小冰</cp:lastModifiedBy>
  <cp:lastPrinted>2024-01-29T02:37:00Z</cp:lastPrinted>
  <dcterms:modified xsi:type="dcterms:W3CDTF">2024-01-29T08:33:07Z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B479347D43CE46FE90393D3BE63D745D_13</vt:lpwstr>
  </property>
</Properties>
</file>