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一、概述：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根据黑龙江乌苏里江制药有限公司哈尔滨分公司新项目要求，拟购置双铝包装机1台，项目要求该设备需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da-DK" w:eastAsia="zh-CN" w:bidi="ar"/>
        </w:rPr>
        <w:t>符合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新版GMP的要求，满足生产使用及工艺需求。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此文件将作为设备进行竞争性招标的基础标准。主要包括用户对该设备的质量要求（GMP）、功能要求、结构配置要求、系统控制及安全要求，并符合相关法规的具体需求及期望。设备生产商应在满足本需求的前提下，提供更高标准、更高质量、更加完善的设备以及相关服务。同时必须指出该标准与实际标准的不符之处，及可接受的质量标准。共同完成对该设备总体要求及标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供方负责供货、安装及设备调试运行至验收合格，以及设备操作人员的培训至熟练操作。需方负责提供系统运行所需要的公用工程（水、电、气、汽等）。供方提供相关技术资料（设计依据、使用说明、产品合格证、材质证明、验证文件、外购件资料等）。</w:t>
      </w:r>
    </w:p>
    <w:tbl>
      <w:tblPr>
        <w:tblStyle w:val="1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1701"/>
        <w:gridCol w:w="179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双铝包装机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1台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0"/>
                <w:lang w:val="en-US" w:eastAsia="zh-CN"/>
              </w:rPr>
              <w:t>-----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9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一机两用（铝塑、铝铝）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二、招标内容：</w:t>
      </w:r>
    </w:p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252547858"/>
      <w:bookmarkStart w:id="1" w:name="_Toc251134217"/>
      <w:bookmarkStart w:id="2" w:name="_Toc251133755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设备标准</w:t>
      </w:r>
      <w:bookmarkEnd w:id="0"/>
      <w:bookmarkEnd w:id="1"/>
      <w:bookmarkEnd w:id="2"/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/>
        </w:rPr>
      </w:pPr>
      <w:bookmarkStart w:id="3" w:name="_Toc251133758"/>
      <w:bookmarkStart w:id="4" w:name="_Toc251134220"/>
      <w:bookmarkStart w:id="5" w:name="_Toc252547859"/>
      <w:bookmarkStart w:id="6" w:name="_Toc251133759"/>
      <w:bookmarkStart w:id="7" w:name="_Toc251134221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双铝包装机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除本URS特殊要求外，须满足中国GMP (2010年修订)和行业相关法规要求，中国安全环保法规。必须符合以下标准、规范及其他相关行业标准（但不限于此，有新版本的按最新版本执行）：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GBZ 1-2010 工业企业设计卫生标准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GB20021-2004中华人民共和国制药机械行业标准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 5226.1-2002 《机械安全  机械电气设备 第一部分：通用技术条件》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GB/T 16855.1-2008《机械安全 控制系统有关安全部件》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GB/T 18831-2010 《机械安全 带防护装置的联锁装置设计和选择原则》</w:t>
      </w:r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GB/T 19671-2005《机械安全 双手操纵装置 功能状况和设计原则》</w:t>
      </w:r>
    </w:p>
    <w:p>
      <w:pPr>
        <w:widowControl/>
        <w:tabs>
          <w:tab w:val="left" w:pos="420"/>
        </w:tabs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 w:eastAsia="it-IT"/>
        </w:rPr>
        <w:t>DL5017-93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/>
        </w:rPr>
        <w:t>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 w:eastAsia="it-IT"/>
        </w:rPr>
        <w:t>压力管道制造安装及验收规范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/>
        </w:rPr>
        <w:t>》</w:t>
      </w:r>
    </w:p>
    <w:p>
      <w:pPr>
        <w:pStyle w:val="18"/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 w:eastAsia="it-IT"/>
        </w:rPr>
        <w:t>GB50236-98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/>
        </w:rPr>
        <w:t>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 w:eastAsia="it-IT"/>
        </w:rPr>
        <w:t>现场设备、工业管道焊接工程施工及验收规范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da-DK"/>
        </w:rPr>
        <w:t>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</w:p>
    <w:bookmarkEnd w:id="3"/>
    <w:bookmarkEnd w:id="4"/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一般描述</w:t>
      </w:r>
      <w:bookmarkEnd w:id="5"/>
      <w:bookmarkEnd w:id="6"/>
      <w:bookmarkEnd w:id="7"/>
    </w:p>
    <w:p>
      <w:pPr>
        <w:widowControl/>
        <w:tabs>
          <w:tab w:val="left" w:pos="420"/>
        </w:tabs>
        <w:spacing w:line="360" w:lineRule="auto"/>
        <w:ind w:left="42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</w:pPr>
      <w:bookmarkStart w:id="8" w:name="_Toc251134222"/>
      <w:bookmarkStart w:id="9" w:name="_Toc251133760"/>
      <w:bookmarkStart w:id="10" w:name="_Toc25254786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该设备用于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胶囊、片剂铝塑、铝铝分装使用；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it-IT" w:eastAsia="it-IT"/>
        </w:rPr>
        <w:t>首先，PVC或硬铝承放装置将PVC输送到加热装置进行加热，再由成型装置吹气成型（铝铝机型：硬铝只通过成型装置冲压成型），往后传送，成型的PVC或硬铝通过加料器加料，继续往后传送与铝箔装置出来的铝箔通过热封装置热封，然后通过批号装置和压痕装置打批号和压痕，最后由冲裁装置冲落药板。</w:t>
      </w: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</w:p>
    <w:bookmarkEnd w:id="8"/>
    <w:bookmarkEnd w:id="9"/>
    <w:bookmarkEnd w:id="10"/>
    <w:p>
      <w:pPr>
        <w:pStyle w:val="2"/>
        <w:numPr>
          <w:ilvl w:val="0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1" w:name="_Toc251134223"/>
      <w:bookmarkStart w:id="12" w:name="_Toc251133761"/>
      <w:bookmarkStart w:id="13" w:name="_Toc252547861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用户及系统要求</w:t>
      </w:r>
      <w:bookmarkEnd w:id="11"/>
      <w:bookmarkEnd w:id="12"/>
      <w:bookmarkEnd w:id="13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 xml:space="preserve"> </w:t>
      </w:r>
    </w:p>
    <w:p>
      <w:pPr>
        <w:pStyle w:val="2"/>
        <w:numPr>
          <w:ilvl w:val="1"/>
          <w:numId w:val="1"/>
        </w:numPr>
        <w:snapToGrid w:val="0"/>
        <w:spacing w:before="0" w:after="0" w:line="400" w:lineRule="exact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4" w:name="_Toc251134224"/>
      <w:bookmarkStart w:id="15" w:name="_Toc251133762"/>
      <w:bookmarkStart w:id="16" w:name="_Toc252547862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>概述</w:t>
      </w:r>
      <w:bookmarkEnd w:id="14"/>
      <w:bookmarkEnd w:id="15"/>
      <w:bookmarkEnd w:id="16"/>
      <w:r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  <w:t xml:space="preserve"> </w:t>
      </w:r>
    </w:p>
    <w:tbl>
      <w:tblPr>
        <w:tblStyle w:val="13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7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8" w:type="dxa"/>
            <w:tcBorders>
              <w:top w:val="single" w:color="auto" w:sz="12" w:space="0"/>
            </w:tcBorders>
            <w:shd w:val="clear" w:color="auto" w:fill="E0E0E0"/>
            <w:noWrap w:val="0"/>
            <w:vAlign w:val="center"/>
          </w:tcPr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缩  写</w:t>
            </w:r>
          </w:p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Abbreviation</w:t>
            </w:r>
          </w:p>
        </w:tc>
        <w:tc>
          <w:tcPr>
            <w:tcW w:w="7831" w:type="dxa"/>
            <w:tcBorders>
              <w:top w:val="single" w:color="auto" w:sz="12" w:space="0"/>
            </w:tcBorders>
            <w:shd w:val="clear" w:color="auto" w:fill="E0E0E0"/>
            <w:noWrap w:val="0"/>
            <w:vAlign w:val="center"/>
          </w:tcPr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定  义</w:t>
            </w:r>
          </w:p>
          <w:p>
            <w:pPr>
              <w:pStyle w:val="25"/>
              <w:spacing w:before="0" w:after="0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eastAsia="zh-CN"/>
              </w:rPr>
              <w:t>Definition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FAT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Factory Acceptance Test出厂验收测试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GAMP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Good Automated Manufacturing Practices良好的自动生产规范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GMP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Good Manufacturing Practices药品生产质量管理规范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DQ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Design Qualification设计确认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IQ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Installation Qualification安装确认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OQ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Operational Qualification运行确认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PQ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Performance Qualification性能确认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CV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Computer Validation计算机系统确认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QA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Quality Assurance质量保证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P&amp;ID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Process and Instrument Diagram.工艺流程图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PLC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Programmable Logic Controller可编程逻辑控制器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SAT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Site Acceptance Test现场验收测试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058" w:type="dxa"/>
            <w:noWrap w:val="0"/>
            <w:vAlign w:val="center"/>
          </w:tcPr>
          <w:p>
            <w:pPr>
              <w:pStyle w:val="26"/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SOP</w:t>
            </w:r>
          </w:p>
        </w:tc>
        <w:tc>
          <w:tcPr>
            <w:tcW w:w="7831" w:type="dxa"/>
            <w:noWrap w:val="0"/>
            <w:vAlign w:val="center"/>
          </w:tcPr>
          <w:p>
            <w:pPr>
              <w:pStyle w:val="26"/>
              <w:spacing w:before="0"/>
              <w:ind w:left="42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Standard Operating Procedures标准操作规程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156" w:after="156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需求标准</w:t>
      </w:r>
    </w:p>
    <w:p>
      <w:pPr>
        <w:pStyle w:val="4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GB" w:eastAsia="it-IT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GB" w:eastAsia="it-IT" w:bidi="ar-SA"/>
        </w:rPr>
        <w:t>设备应符合以下规定，但并不限于以下内容，制造商可根据自身企业特点给出更合理的优化建议。</w:t>
      </w:r>
    </w:p>
    <w:p>
      <w:pPr>
        <w:pStyle w:val="3"/>
        <w:spacing w:before="156" w:after="156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.1 生产能力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936"/>
        <w:gridCol w:w="1350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101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93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5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双铝泡罩机1台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可实现 铝塑 铝铝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种形式 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铝塑稳定生产能力：1</w:t>
            </w: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0冲/分</w:t>
            </w: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lang w:eastAsia="zh-CN"/>
              </w:rPr>
              <w:t>钟（根据具体情况确定）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936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lang w:eastAsia="zh-CN"/>
              </w:rPr>
              <w:t>铝铝稳定生产能力：</w:t>
            </w: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lang w:eastAsia="zh-CN"/>
              </w:rPr>
              <w:t>0冲/分钟（根据具体情况确定）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.2</w:t>
      </w:r>
      <w:bookmarkStart w:id="17" w:name="_Toc183509266"/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 工艺性能</w:t>
      </w:r>
      <w:bookmarkEnd w:id="17"/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92"/>
        <w:gridCol w:w="1305"/>
        <w:gridCol w:w="12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679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  <w:tc>
          <w:tcPr>
            <w:tcW w:w="130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必需或期望</w:t>
            </w:r>
          </w:p>
        </w:tc>
        <w:tc>
          <w:tcPr>
            <w:tcW w:w="128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设备能够连续稳定运行。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泡罩最大成型深度：12mm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热封辊压合温度：160-200℃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预热时，上、下加热板的温度均匀性在±3℃，不能偏差过大，上下加热板应有防粘涂层。(铝塑设备)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加热器为内埋式，温度更均匀。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加热预热时间控制在30分钟以内。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noWrap w:val="0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加热温度能精确控制和可调，温度控制精度应达到±3℃以内。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8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/>
                <w:kern w:val="0"/>
                <w:sz w:val="21"/>
                <w:szCs w:val="21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正常停机时，加热工位自动分离，不对包装材料和包装物造成影响。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设备具备板块计数功能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配有专用的药物加料器，加料器应避免损坏药物，并装有去除粉尘的装置。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pStyle w:val="25"/>
              <w:spacing w:before="0" w:after="0"/>
              <w:jc w:val="both"/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 w:val="0"/>
                <w:kern w:val="2"/>
                <w:sz w:val="21"/>
                <w:szCs w:val="21"/>
                <w:lang w:eastAsia="zh-CN"/>
              </w:rPr>
              <w:t>加料器能保证药物加入泡眼的成功率大于99%，更好的保证生产速度。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设备配备摄像检测装置，应能检测到PVC或硬铝中是否填入药物（在成型的泡腔中是否漏装、错装和残缺等问题）。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摄像检测装置采用市场主流品牌，彩色系统，镜头至少130万像素，内存和处理器能够适应高速照相要求。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摄像检测参数可根据不同品种储存，使用时直接调出，数据不丢失。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设备具备剔废功能，剔废率达100%。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所以操作系统均为简体中文。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批号装置应保证每个字符清晰。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字头夹能方便取出，具有防止松脱的限位措施。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热封装置采用网状密封，封合严密、平整，网纹清晰。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密封试验条件，压力：-0.08MPa；温度18-26℃；时间：大于60S；气密性：应无泄漏，属于合格。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设备使用冷却水冷却，有冷却水快装接口，接口密封性好，拆装方便。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设备各部位的连接应牢固可靠，气路和水路系统应畅通，不能有渗漏现象。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泡罩应饱满挺括，冲裁下的板块平整，不得有毛边。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PVC或硬铝走带稳定，不发生偏移。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设备应有材料放卷完毕报警装置，放卷完毕后，机器会自动停机。材料更换方便，有相应的快速拼接工位。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包装过程中不得对物料造成二次污染。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设备与被包装物和包装材料的包装面直接接触的零件应采用无毒、耐腐蚀且不污染被包装物的材料。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批号装置和模具拆装方便。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设备表面和内部便于清洁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在设备生产能力范围内具有无极、平稳、连续的速度可调功能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设备具备压痕功能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热封辊处安装有散热器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停机后再次启动，无成型不良现象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PVC或硬铝成型后的牵引由伺服电动机完成，步进精确，调整方便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药粒的排版符合规范，尽可能减少包材的损耗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配备废边收集功能                                                                                   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tabs>
                <w:tab w:val="left" w:pos="106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主传动轴、轴承以及其他各工位的轴承为本设备关键零件，其材质和精度必须满足设备满负载连续生产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tabs>
                <w:tab w:val="left" w:pos="106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设备中的仪表刻度清晰，准确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tabs>
                <w:tab w:val="left" w:pos="106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药品在下料、填充过程中的粉尘能够有效吸除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792" w:type="dxa"/>
            <w:vAlign w:val="top"/>
          </w:tcPr>
          <w:p>
            <w:pPr>
              <w:tabs>
                <w:tab w:val="left" w:pos="1060"/>
              </w:tabs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</w:rPr>
              <w:t>设备在膜即将用完时，有报警装置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28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.3 控制要求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67"/>
        <w:gridCol w:w="1350"/>
        <w:gridCol w:w="116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序号</w:t>
            </w:r>
          </w:p>
        </w:tc>
        <w:tc>
          <w:tcPr>
            <w:tcW w:w="6867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要求</w:t>
            </w:r>
          </w:p>
        </w:tc>
        <w:tc>
          <w:tcPr>
            <w:tcW w:w="135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必需或期望</w:t>
            </w:r>
          </w:p>
        </w:tc>
        <w:tc>
          <w:tcPr>
            <w:tcW w:w="116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采用PLC+触摸屏自动控制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具有自动控制和手动控制两种方式。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要求可以进行调速。显示温度、产能等。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可对生产过程中各项数据进行设置、监测。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各传动电机均需要采用伺服电机。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所有电气线缆均有标号并有电气原理图、安装接线图。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信号电缆使用屏蔽电缆,信号电缆和动力电缆应该有一定的距离,并有有效的隔离措施。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提供设备源程序。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.4 设备配置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52"/>
        <w:gridCol w:w="1335"/>
        <w:gridCol w:w="11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5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3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19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设备实体：厂家标配。电器部件：厂家标配。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可编程序控制器（PLC）及各种模块：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宜采用西门子、施耐德、欧姆龙等进口品牌。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触摸屏：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宜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采用西门子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ABB、欧姆龙等进口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品牌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或同等品牌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变频器：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eastAsia="zh-CN"/>
              </w:rPr>
              <w:t>宜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it-IT"/>
              </w:rPr>
              <w:t>采用西门子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1"/>
                <w:lang w:val="it-IT" w:eastAsia="zh-CN"/>
              </w:rPr>
              <w:t>、丹佛斯等进口品牌。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配备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铝塑、铝铝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模具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各1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套，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尺寸图纸另行确定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设备应便于清洁、清洁无死角。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任何与物料接触的部位所用垫圈，密封圈和O形圈只能用药用级聚合材料，例如聚四氟乙烯或硅橡胶。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具有独立的放卷位置和放卷装置。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模具具有准确定位功能,安装更换无需调整。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泡罩成型挺阔，并具有泡罩成型检测装置，检测泡罩成型是否良好。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温度稳定波动控制在±3℃。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设备配备光电对版功能。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设备配备残粒、缺粒视觉检测功能。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配备针孔检测装置、成型检测装置，品牌进口品牌。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设备配备合适上料装置，保证片子准确入位。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冲裁机构冲切准确，板块没有毛边。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配备撕裂线工位。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具备废料边收集装置，剔除品收集箱。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设备具有包材用尽报警准停点停机。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设备具准停点停功能。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设备应预留与后端装盒机联线的功能，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配备机械手及工位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设备应配备计数功能。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设备应具备不合格品剔除功能。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pStyle w:val="25"/>
              <w:spacing w:before="0"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所有的焊接口进行抛光处理。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与药品接触不锈钢件部件材质为304。设备外包304不锈钢。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设备与压缩空气、纯化水管路系统的连接接头使用快拆（装）接头。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sz w:val="21"/>
                <w:szCs w:val="21"/>
              </w:rPr>
              <w:t>传动系统传动转动灵活，无卡滞和异常响声，匀速转动。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抛光度Ra≤0.6μm。提供相关材质证明。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设备具备良好的静电接地功能和条件,确保设备产生的静电能够及时泄掉。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电气柜应有防尘、防湿、排热措施。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设备上使用的有可能与物料接触的润滑油，应为食品级，无毒性。使用的普通润滑油不能和产品或可能和产品接触的设备表面接触。供方需完成设备的首次润滑工作。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任何与产品直接接触的设备表面均不能有润滑油泄漏，特别是各运动部件。保证润滑过程无泄漏。不得对产品造成污染。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采用卫生级密封，有防止润滑油等污染罐内物料的措施。不得因密封失效导致容器内的物料受到污染。不得出现锈蚀脱落等情况。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bookmarkStart w:id="18" w:name="_Toc183509268"/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.5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  <w:sz w:val="24"/>
          <w:lang w:val="da-DK"/>
        </w:rPr>
        <w:t xml:space="preserve"> EHS要求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67"/>
        <w:gridCol w:w="1320"/>
        <w:gridCol w:w="119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67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2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196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配备三级管理权限。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设备不能对人体健康造成伤害，设备产生的噪音水平不得高于80分贝（距离设备1.5m处测量）。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具备故障检测、显示和报警功能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配备急停按钮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Ansi="宋体"/>
                <w:caps/>
                <w:lang w:bidi="en-US"/>
              </w:rPr>
              <w:t>所有防护罩、观察视窗，采用厚度</w:t>
            </w:r>
            <w:r>
              <w:rPr>
                <w:caps/>
                <w:lang w:bidi="en-US"/>
              </w:rPr>
              <w:t>≥5mm</w:t>
            </w:r>
            <w:r>
              <w:rPr>
                <w:rFonts w:hAnsi="宋体"/>
                <w:caps/>
                <w:lang w:bidi="en-US"/>
              </w:rPr>
              <w:t>的透明有机玻璃板。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/>
                <w:lang w:eastAsia="zh-CN" w:bidi="en-US"/>
              </w:rPr>
              <w:t>因设备所在房间每周使用臭氧O3消毒，所以使用的材料不得因此受到影响，如出现问题，后果由供应商自行承担并赔偿相应损失。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设备上易对操作人员造成伤害的运动部位应有安全罩，电气控制柜装有安全锁，符合零进入标准。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设备各部位不能有锋利的边缘和尖角，易对操作人员造成伤害的部位和表面应有安全防护措施。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停电或者故障时设备能够存储运行参数，故障处理后设备不能自动运行，需要进行人工手动启动。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设备具备短路、断路、过载、缺相、过流、过压、相序、漏电以及其它功能失调的保护功能。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设备符合安全、环保要求，机组能够进行可靠的漏电接地和静电接地措施。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line="36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  <w:lang w:val="da-DK"/>
        </w:rPr>
      </w:pPr>
      <w:bookmarkStart w:id="19" w:name="_Toc183509270"/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da-DK"/>
        </w:rPr>
        <w:t>.6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da-DK"/>
        </w:rPr>
        <w:t>公用要求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22"/>
        <w:gridCol w:w="1335"/>
        <w:gridCol w:w="12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22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35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26" w:type="dxa"/>
            <w:tcBorders>
              <w:top w:val="single" w:color="auto" w:sz="18" w:space="0"/>
            </w:tcBorders>
            <w:shd w:val="pct20" w:color="auto" w:fill="FFFFFF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6"/>
              <w:spacing w:befor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安装在生产车间，</w:t>
            </w: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设备分体制作，便于搬运安装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ind w:left="100" w:hanging="105" w:hangingChars="5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设备设置在洁净区。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6"/>
              <w:spacing w:befor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设备周围应有足够的检修空间。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设备本身及对周围环境无任何污染和损坏。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供方需明确所需水、电、气等公用能源的要求。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22" w:type="dxa"/>
            <w:noWrap w:val="0"/>
            <w:vAlign w:val="center"/>
          </w:tcPr>
          <w:p>
            <w:pPr>
              <w:pStyle w:val="2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eastAsia="zh-CN"/>
              </w:rPr>
              <w:t>设计图纸需甲方最终签字确认。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  <w:t>必需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bookmarkEnd w:id="19"/>
    </w:tbl>
    <w:p>
      <w:pPr>
        <w:widowControl/>
        <w:spacing w:line="480" w:lineRule="auto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da-DK"/>
        </w:rPr>
        <w:t>.7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 xml:space="preserve"> 其他要求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859"/>
        <w:gridCol w:w="1320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208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59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20" w:type="dxa"/>
            <w:tcBorders>
              <w:top w:val="single" w:color="auto" w:sz="18" w:space="0"/>
            </w:tcBorders>
            <w:shd w:val="pct20" w:color="auto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</w:tcBorders>
            <w:shd w:val="pct20" w:color="auto" w:fill="FFFFFF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FAT要求：设备制造过程中质量进度关键控制点，必须通知使用方到制造厂进行验收，确认符合要求后方可继续下一道工序制造或组装。若使用方不能亲自到制造厂验收的，也要经使用方的允许方可继续下一道工序制造或组装；设备厂家编写设备的FAT文件，经使用方确认后，负责实施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包装运输要求：包装满足运输和装卸要求，防潮湿、防磕碰、防振动；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运输实际包含在供货周期内，供方负责运输，承担运输费用；交货地点：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哈尔滨市平房区渤海路39号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；机器到货清单必须详列每装箱内容物。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安装调试要求：设备到货，拆箱时供应方必须陪同需方人员进行拆箱，如果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应方授权需方自行拆箱，拆箱后发现设备及所有附件有任何损坏、缺失，供应方应负全责。机器订购后供应商需负责到货运送，由需方负责搬运、吊装及 安装,安装期间供应商至少需有一人全程配合。设备到货我公司通知供应方来厂安装日期起，应在于10个自然日内完成安装并试车完毕。供应方进厂施工必须遵守需方的施工规则施工，以及遵守我公司的各项规章制度。本公司负责按照安装施工图纸上标识的公用系统需求安装到位，设备连接及内部系统均有供货厂家负责安装连接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供货周期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FAT合格后，预付款到发货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运输时间包含在供货周期内，供方负责运输，并承担运输费用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需求方2人去FAT，供方提供食宿。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培训要求：供方负责对技术管理人员、操作人员、维修人员进行结构原理、性能、操作、维修、故障排除等知识的培训，使我方人员达到一定熟练程度，由双方人员认可。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质量保证：设备保修期限不得少于1年。</w:t>
            </w:r>
          </w:p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质保期内，自设备安装调试验收合格之日12个月 。设备在质保期内如发现质量问题及故障，卖方收到买方的函、电后，在 48 小时内及时派人到现场处理，实行三包服务，免费维修，损坏的零部件全部免费更换，设备不能维修的免费更换；不能更换的，卖方应返还买方已经支付的相应合同价款，并承担相应损失，或由买方直接在质保金中相应的扣除。紧急情况时，卖方在 24小时内到达维修现场，实行三包服务。</w:t>
            </w:r>
          </w:p>
          <w:p>
            <w:pPr>
              <w:ind w:left="1050" w:left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质保期外：继续提供免费上门服务，有偿提供设备所需配件（主要配件价格按本合同“易损件清单及价格表”文件内配件清单）。如发现质量问题及故障，卖方收到买方的函、电后，在48小时内及时派人到现场处理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54"/>
                <w:tab w:val="left" w:pos="845"/>
                <w:tab w:val="clear" w:pos="420"/>
              </w:tabs>
              <w:spacing w:before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59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ind w:left="1155" w:leftChars="50" w:hanging="1050" w:hanging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备品备件：提供设备所有易损件明细（包括所有的密封圈和润滑油规格），根据明细可在市场上购买。</w:t>
            </w:r>
          </w:p>
          <w:p>
            <w:pPr>
              <w:ind w:left="1155" w:leftChars="500" w:hanging="105" w:hangingChars="5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提供设备易损件一套。同时提供备件清单和备件单价。</w:t>
            </w:r>
          </w:p>
        </w:tc>
        <w:tc>
          <w:tcPr>
            <w:tcW w:w="132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bottom w:val="single" w:color="auto" w:sz="18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cap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4"/>
          <w:lang w:val="en-GB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4"/>
        </w:rPr>
        <w:t>8 特殊需求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874"/>
        <w:gridCol w:w="1305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08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74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30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11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ind w:firstLine="402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该设备设计制造必须满足新版GMP要求。供货方必须承诺在供货范围内不得存在导致无法满足GMP要求的缺欠；如在使用过程中发现无法满足上述规定要求的缺欠，经鉴定为设计或制造问题，供货方必须承诺对该机尽快进行免费设计改造、更换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ind w:firstLine="402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本需求表中基本规格内容，技术数据及参考文件各大项中所提及各项要求供应方提供资料，若有任何问题应于契约制定前先通知我方，在合约上说明，否则各项列入机器到货验收时之依据。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</w:tabs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设备其余配置按厂家标准配置。以厂家提供的技术资料为准。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aps w:val="0"/>
                <w:color w:val="000000"/>
                <w:kern w:val="2"/>
                <w:sz w:val="21"/>
                <w:szCs w:val="21"/>
                <w:lang w:val="en-US" w:eastAsia="zh-CN"/>
              </w:rPr>
              <w:t>本URS作为合同的补充条款，作为到货验收的依据。</w:t>
            </w: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caps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aps/>
          <w:sz w:val="24"/>
        </w:rPr>
        <w:t>.9 文件要求</w:t>
      </w:r>
    </w:p>
    <w:tbl>
      <w:tblPr>
        <w:tblStyle w:val="13"/>
        <w:tblW w:w="105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882"/>
        <w:gridCol w:w="1275"/>
        <w:gridCol w:w="12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6882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必需或期望</w:t>
            </w:r>
          </w:p>
        </w:tc>
        <w:tc>
          <w:tcPr>
            <w:tcW w:w="1226" w:type="dxa"/>
            <w:tcBorders>
              <w:top w:val="single" w:color="auto" w:sz="18" w:space="0"/>
              <w:bottom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是否响应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5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验证文件：设备设计确认（DQ）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设备工厂测试（FAT）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设备现场测试（SAT）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设备验证方案（IQ、OQ、PQ）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FS、DS、部件清单、报警清单、PID图、接线图、电气原理图、电气元件清单等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5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使用资料：设备使用说明书3份</w:t>
            </w:r>
          </w:p>
          <w:p>
            <w:pPr>
              <w:spacing w:line="36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设备维修手册3份</w:t>
            </w:r>
          </w:p>
          <w:p>
            <w:pPr>
              <w:spacing w:line="400" w:lineRule="exact"/>
              <w:ind w:left="425" w:firstLine="1050" w:firstLineChars="5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设备标准操作规程 （SOP）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befor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8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设计、制造证明文件及图纸：设备装箱清单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设备合格证明书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设备电器原理图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设备安装图纸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产品质量用户使用情况反馈单</w:t>
            </w:r>
          </w:p>
          <w:p>
            <w:pPr>
              <w:spacing w:line="400" w:lineRule="exact"/>
              <w:ind w:firstLine="3150" w:firstLineChars="1500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其他需要的证明文件等资料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必需</w:t>
            </w: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1"/>
        <w:rPr>
          <w:rFonts w:hint="eastAsia" w:asciiTheme="minorEastAsia" w:hAnsiTheme="minorEastAsia" w:cstheme="minorEastAsia"/>
          <w:b/>
          <w:bCs/>
          <w:caps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aps/>
          <w:sz w:val="24"/>
          <w:lang w:val="en-US" w:eastAsia="zh-CN"/>
        </w:rPr>
        <w:t>4.10商务要求</w:t>
      </w:r>
    </w:p>
    <w:tbl>
      <w:tblPr>
        <w:tblStyle w:val="13"/>
        <w:tblW w:w="105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581"/>
        <w:gridCol w:w="1335"/>
        <w:gridCol w:w="12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40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spacing w:before="120" w:after="120"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编号</w:t>
            </w:r>
          </w:p>
        </w:tc>
        <w:tc>
          <w:tcPr>
            <w:tcW w:w="658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spacing w:before="120" w:after="120"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要求内容</w:t>
            </w:r>
          </w:p>
        </w:tc>
        <w:tc>
          <w:tcPr>
            <w:tcW w:w="133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23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jc w:val="center"/>
              <w:rPr>
                <w:rFonts w:hint="default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  <w:t>URS</w:t>
            </w:r>
            <w:r>
              <w:rPr>
                <w:rFonts w:hint="eastAsia" w:asciiTheme="minorEastAsia" w:hAnsiTheme="minorEastAsia" w:cstheme="minorEastAsia"/>
                <w:b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合同签订即开始生产，FAT合格后，发货前付合同总额30%款，设备到达指定地点安装SAT合格后，开全款增值税发票入账、余70%款当月开始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，共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分12期支付，质保期两年。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bidi="en-US"/>
              </w:rPr>
              <w:t>必须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pStyle w:val="24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/>
              <w:jc w:val="center"/>
              <w:rPr>
                <w:rFonts w:hint="default" w:asciiTheme="minorEastAsia" w:hAnsiTheme="minorEastAsia" w:eastAsiaTheme="minorEastAsia" w:cs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val="en-US"/>
              </w:rPr>
              <w:t>URS</w:t>
            </w:r>
            <w:r>
              <w:rPr>
                <w:rFonts w:hint="eastAsia" w:asciiTheme="minorEastAsia" w:hAnsiTheme="minorEastAsia" w:cstheme="minorEastAsia"/>
                <w:b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65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投标时提供同行业、同款同系列设备，近一年内合同3份，注明使用单位设备部门或使用部门联系人、联系方式。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 w:bidi="en-US"/>
              </w:rPr>
              <w:t>必须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7"/>
              <w:spacing w:before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de-DE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en-US"/>
              </w:rPr>
              <w:t>口是/口否</w:t>
            </w:r>
          </w:p>
        </w:tc>
      </w:tr>
    </w:tbl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应商对URS中的项目要求条款予以确认，有偏离的做对应的详细说明。</w:t>
      </w:r>
    </w:p>
    <w:p>
      <w:pPr>
        <w:pStyle w:val="19"/>
        <w:snapToGrid w:val="0"/>
        <w:spacing w:before="156" w:beforeLines="50" w:beforeAutospacing="0" w:after="156" w:afterLines="50" w:afterAutospacing="0"/>
        <w:ind w:left="357" w:firstLine="0" w:firstLineChars="0"/>
        <w:jc w:val="center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="Times New Roman" w:cs="宋体"/>
          <w:b/>
          <w:bCs/>
          <w:sz w:val="24"/>
          <w:szCs w:val="24"/>
        </w:rPr>
        <w:t>表</w:t>
      </w:r>
      <w:r>
        <w:rPr>
          <w:rFonts w:hint="eastAsia" w:ascii="Times New Roman" w:cs="Times New Roman"/>
          <w:b/>
          <w:bCs/>
          <w:sz w:val="24"/>
          <w:szCs w:val="24"/>
        </w:rPr>
        <w:t>1</w:t>
      </w:r>
      <w:r>
        <w:rPr>
          <w:rFonts w:ascii="Times New Roman" w:cs="Times New Roman"/>
          <w:b/>
          <w:bCs/>
          <w:sz w:val="24"/>
          <w:szCs w:val="24"/>
        </w:rPr>
        <w:t xml:space="preserve">  </w:t>
      </w:r>
      <w:r>
        <w:rPr>
          <w:rFonts w:ascii="宋体" w:hAnsi="宋体" w:cs="Times New Roman"/>
          <w:b/>
          <w:bCs/>
          <w:sz w:val="24"/>
          <w:szCs w:val="24"/>
        </w:rPr>
        <w:t>URS</w:t>
      </w:r>
      <w:r>
        <w:rPr>
          <w:rFonts w:hint="eastAsia" w:ascii="宋体" w:hAnsi="宋体" w:cs="宋体"/>
          <w:b/>
          <w:bCs/>
          <w:sz w:val="24"/>
          <w:szCs w:val="24"/>
        </w:rPr>
        <w:t>偏</w:t>
      </w:r>
      <w:r>
        <w:rPr>
          <w:rFonts w:hint="eastAsia" w:ascii="宋体" w:hAnsi="宋体"/>
          <w:b/>
          <w:sz w:val="24"/>
          <w:szCs w:val="24"/>
        </w:rPr>
        <w:t>离</w:t>
      </w:r>
      <w:r>
        <w:rPr>
          <w:rFonts w:hint="eastAsia" w:ascii="宋体" w:hAnsi="宋体" w:cs="宋体"/>
          <w:b/>
          <w:bCs/>
          <w:sz w:val="24"/>
          <w:szCs w:val="24"/>
        </w:rPr>
        <w:t>汇总表</w:t>
      </w:r>
    </w:p>
    <w:tbl>
      <w:tblPr>
        <w:tblStyle w:val="13"/>
        <w:tblW w:w="10563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32"/>
        <w:gridCol w:w="2340"/>
        <w:gridCol w:w="5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</w:t>
            </w: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偏</w:t>
            </w:r>
            <w:r>
              <w:rPr>
                <w:rFonts w:hint="eastAsia" w:ascii="宋体" w:hAnsi="宋体"/>
                <w:sz w:val="24"/>
                <w:szCs w:val="24"/>
              </w:rPr>
              <w:t>离</w:t>
            </w:r>
            <w:r>
              <w:rPr>
                <w:rFonts w:hint="eastAsia" w:cs="宋体"/>
                <w:sz w:val="24"/>
                <w:szCs w:val="24"/>
              </w:rPr>
              <w:t>项</w:t>
            </w: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偏</w:t>
            </w:r>
            <w:r>
              <w:rPr>
                <w:rFonts w:hint="eastAsia" w:ascii="宋体" w:hAnsi="宋体"/>
                <w:sz w:val="24"/>
                <w:szCs w:val="24"/>
              </w:rPr>
              <w:t>离说明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ind w:left="1" w:leftChars="-171" w:hanging="360" w:hanging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1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sz w:val="24"/>
                <w:szCs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883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48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三、结款方式：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结算方式：电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四、投标人资质要求：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1、投标单位应具有法人营业执照、税务登记证、组织机构代码证等资质文件（复印件加盖红章）。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2、各投标单位需提供售后服务相关事宜文件。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3、投标单位应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具有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包装机械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制造、维修、经营资质,注册资金100万元以上。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3.1. 投标单位一般情况表。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3.2. 法人授权委托书（加盖红章）。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3.3. 法人营业执照（复印件加盖红章）。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   4.报价单，一口价（报价单加盖红章）报价单格式附件。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五、日程安排：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标书，一正两副共三本，含技术和商务部分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时间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、地址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：请于202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日12:00前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邮寄至黑龙江省哈尔滨市平房区渤海路39号，乌苏里江制药有限公司哈尔滨分公司 翟芯宇（收） 13199638798，未收到或未在规定时间内收到标书，视为放弃投标。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3、快递脱皮后，标书应有独立包装，包装外表面明显位置设置标识，标注设备厂家名称，项目标书、联系人、电话等信息，开标时统一开启。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、开标时间：202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日13:00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六、联系方式</w:t>
      </w:r>
      <w:bookmarkStart w:id="20" w:name="_GoBack"/>
      <w:bookmarkEnd w:id="2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投标联系人: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翟芯宇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        联系电话：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13199638798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技术答疑人：周宝双               联系电话：13936675940</w:t>
      </w:r>
    </w:p>
    <w:p>
      <w:pPr>
        <w:pStyle w:val="18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）</w:t>
      </w:r>
    </w:p>
    <w:tbl>
      <w:tblPr>
        <w:tblStyle w:val="13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446"/>
        <w:gridCol w:w="1020"/>
        <w:gridCol w:w="10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49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rPr>
          <w:rFonts w:hint="default" w:ascii="宋体" w:hAnsi="宋体" w:cs="宋体" w:eastAsiaTheme="minorEastAsia"/>
          <w:b/>
          <w:color w:val="000000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highlight w:val="none"/>
          <w:lang w:val="en-US" w:eastAsia="zh-CN"/>
        </w:rPr>
        <w:t>URS要求分期模式：</w:t>
      </w: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ind w:firstLine="1405" w:firstLineChars="500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报价单位：</w:t>
      </w:r>
    </w:p>
    <w:p>
      <w:pPr>
        <w:spacing w:line="500" w:lineRule="exact"/>
        <w:ind w:firstLine="1405" w:firstLineChars="500"/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年   月   日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highlight w:val="none"/>
          <w:lang w:eastAsia="zh-CN"/>
        </w:rPr>
        <w:t>）</w:t>
      </w:r>
    </w:p>
    <w:tbl>
      <w:tblPr>
        <w:tblStyle w:val="13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446"/>
        <w:gridCol w:w="1020"/>
        <w:gridCol w:w="10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493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jc w:val="both"/>
        <w:rPr>
          <w:rFonts w:hint="default" w:asciiTheme="minorEastAsia" w:hAnsiTheme="minorEastAsia" w:eastAsiaTheme="minorEastAsia" w:cs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highlight w:val="none"/>
          <w:lang w:val="en-US" w:eastAsia="zh-CN"/>
        </w:rPr>
        <w:t>预付30%、FAT合格发货前30%、SAT合格30%、余10%质保12个月结清：</w:t>
      </w:r>
    </w:p>
    <w:p>
      <w:pPr>
        <w:spacing w:line="500" w:lineRule="exact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ind w:firstLine="1405" w:firstLineChars="500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报价单位：</w:t>
      </w:r>
    </w:p>
    <w:p>
      <w:pPr>
        <w:spacing w:line="500" w:lineRule="exact"/>
        <w:ind w:firstLine="1405" w:firstLineChars="500"/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年   月   日</w:t>
      </w:r>
    </w:p>
    <w:p>
      <w:pPr>
        <w:spacing w:line="48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楷体_GB2312" w:eastAsia="楷体_GB2312"/>
        <w:color w:val="000000"/>
        <w:lang w:eastAsia="zh-CN"/>
      </w:rPr>
    </w:pPr>
    <w:r>
      <w:rPr>
        <w:rFonts w:hint="eastAsia" w:ascii="楷体_GB2312" w:eastAsia="楷体_GB2312"/>
        <w:color w:val="000000"/>
        <w:lang w:val="en-US" w:eastAsia="zh-CN"/>
      </w:rPr>
      <w:t>黑龙江乌苏里江制药有限公司哈尔滨分公司</w:t>
    </w:r>
    <w:r>
      <w:rPr>
        <w:rFonts w:hint="eastAsia" w:ascii="楷体_GB2312" w:eastAsia="楷体_GB2312"/>
        <w:color w:val="000000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B3B27"/>
    <w:multiLevelType w:val="multilevel"/>
    <w:tmpl w:val="063B3B27"/>
    <w:lvl w:ilvl="0" w:tentative="0">
      <w:start w:val="1"/>
      <w:numFmt w:val="decimalZero"/>
      <w:lvlText w:val="URS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  <w:sz w:val="21"/>
        <w:szCs w:val="21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774285D"/>
    <w:multiLevelType w:val="multilevel"/>
    <w:tmpl w:val="6774285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GFmZmZiNDVkOWQxYjljODQzZDhhZjVlNTQ3ODQifQ=="/>
  </w:docVars>
  <w:rsids>
    <w:rsidRoot w:val="0086605E"/>
    <w:rsid w:val="00003F19"/>
    <w:rsid w:val="000454F8"/>
    <w:rsid w:val="00054F5E"/>
    <w:rsid w:val="000558E3"/>
    <w:rsid w:val="000B2F2A"/>
    <w:rsid w:val="000E642F"/>
    <w:rsid w:val="000F59D1"/>
    <w:rsid w:val="001060B1"/>
    <w:rsid w:val="0010664E"/>
    <w:rsid w:val="001140C2"/>
    <w:rsid w:val="00130676"/>
    <w:rsid w:val="00136F46"/>
    <w:rsid w:val="001A34FA"/>
    <w:rsid w:val="001A46D0"/>
    <w:rsid w:val="00226B8D"/>
    <w:rsid w:val="00264EAA"/>
    <w:rsid w:val="00272397"/>
    <w:rsid w:val="002952CA"/>
    <w:rsid w:val="002A24B9"/>
    <w:rsid w:val="002C094E"/>
    <w:rsid w:val="002F6E9F"/>
    <w:rsid w:val="00304156"/>
    <w:rsid w:val="00353F08"/>
    <w:rsid w:val="003A782B"/>
    <w:rsid w:val="003C58C7"/>
    <w:rsid w:val="003C60F7"/>
    <w:rsid w:val="003F36CA"/>
    <w:rsid w:val="0041494A"/>
    <w:rsid w:val="004244DC"/>
    <w:rsid w:val="004252E6"/>
    <w:rsid w:val="004864CE"/>
    <w:rsid w:val="004A6E70"/>
    <w:rsid w:val="004C6339"/>
    <w:rsid w:val="004E1517"/>
    <w:rsid w:val="004F5B1D"/>
    <w:rsid w:val="0051080A"/>
    <w:rsid w:val="00525BC0"/>
    <w:rsid w:val="00535349"/>
    <w:rsid w:val="00542093"/>
    <w:rsid w:val="0056511F"/>
    <w:rsid w:val="00572EDB"/>
    <w:rsid w:val="005D0944"/>
    <w:rsid w:val="00624AE6"/>
    <w:rsid w:val="00635E97"/>
    <w:rsid w:val="00637DC9"/>
    <w:rsid w:val="006603B2"/>
    <w:rsid w:val="006C5532"/>
    <w:rsid w:val="006E7C3E"/>
    <w:rsid w:val="00707A92"/>
    <w:rsid w:val="00723590"/>
    <w:rsid w:val="00751757"/>
    <w:rsid w:val="00782F4C"/>
    <w:rsid w:val="007957F7"/>
    <w:rsid w:val="007B2F45"/>
    <w:rsid w:val="007E6F36"/>
    <w:rsid w:val="008011EE"/>
    <w:rsid w:val="0086605E"/>
    <w:rsid w:val="008677EB"/>
    <w:rsid w:val="008F27C0"/>
    <w:rsid w:val="00900A01"/>
    <w:rsid w:val="0093451E"/>
    <w:rsid w:val="00936FB2"/>
    <w:rsid w:val="00943FD1"/>
    <w:rsid w:val="00946ECE"/>
    <w:rsid w:val="00982381"/>
    <w:rsid w:val="00986B42"/>
    <w:rsid w:val="009B6C38"/>
    <w:rsid w:val="009C52F0"/>
    <w:rsid w:val="009D6639"/>
    <w:rsid w:val="009D7931"/>
    <w:rsid w:val="009E6A69"/>
    <w:rsid w:val="00A6154B"/>
    <w:rsid w:val="00A963F3"/>
    <w:rsid w:val="00AE2B1A"/>
    <w:rsid w:val="00BC3A77"/>
    <w:rsid w:val="00BD7CDF"/>
    <w:rsid w:val="00BF3D0D"/>
    <w:rsid w:val="00C100BC"/>
    <w:rsid w:val="00C10C93"/>
    <w:rsid w:val="00C53270"/>
    <w:rsid w:val="00C65E07"/>
    <w:rsid w:val="00C770F9"/>
    <w:rsid w:val="00C77B85"/>
    <w:rsid w:val="00D117D5"/>
    <w:rsid w:val="00D33FF4"/>
    <w:rsid w:val="00D34670"/>
    <w:rsid w:val="00D41752"/>
    <w:rsid w:val="00D61649"/>
    <w:rsid w:val="00D653E2"/>
    <w:rsid w:val="00D66857"/>
    <w:rsid w:val="00D81B80"/>
    <w:rsid w:val="00D83181"/>
    <w:rsid w:val="00D9086E"/>
    <w:rsid w:val="00DA3472"/>
    <w:rsid w:val="00DB3549"/>
    <w:rsid w:val="00DC3DBB"/>
    <w:rsid w:val="00DE1F60"/>
    <w:rsid w:val="00DF120E"/>
    <w:rsid w:val="00E01806"/>
    <w:rsid w:val="00E049B0"/>
    <w:rsid w:val="00E53E01"/>
    <w:rsid w:val="00E94E1D"/>
    <w:rsid w:val="00EB4509"/>
    <w:rsid w:val="00ED6B82"/>
    <w:rsid w:val="00F167AC"/>
    <w:rsid w:val="00F24209"/>
    <w:rsid w:val="00F50B50"/>
    <w:rsid w:val="00F53141"/>
    <w:rsid w:val="00F60994"/>
    <w:rsid w:val="00F757B8"/>
    <w:rsid w:val="00F872B2"/>
    <w:rsid w:val="00FA74FF"/>
    <w:rsid w:val="00FC4011"/>
    <w:rsid w:val="04111487"/>
    <w:rsid w:val="04532036"/>
    <w:rsid w:val="04857662"/>
    <w:rsid w:val="06EC0CCE"/>
    <w:rsid w:val="082C148A"/>
    <w:rsid w:val="09950675"/>
    <w:rsid w:val="09B74451"/>
    <w:rsid w:val="0A127DAB"/>
    <w:rsid w:val="0AB913D7"/>
    <w:rsid w:val="0AFA4E47"/>
    <w:rsid w:val="0B95521E"/>
    <w:rsid w:val="0BD63A6E"/>
    <w:rsid w:val="0C3C77C2"/>
    <w:rsid w:val="0D800A01"/>
    <w:rsid w:val="0F872F52"/>
    <w:rsid w:val="0FC1070A"/>
    <w:rsid w:val="10103D43"/>
    <w:rsid w:val="118916FB"/>
    <w:rsid w:val="118B7221"/>
    <w:rsid w:val="120E69C5"/>
    <w:rsid w:val="121F3E0E"/>
    <w:rsid w:val="14CC1ABA"/>
    <w:rsid w:val="161B4691"/>
    <w:rsid w:val="170D368F"/>
    <w:rsid w:val="17B943BD"/>
    <w:rsid w:val="181F639E"/>
    <w:rsid w:val="19EF01DB"/>
    <w:rsid w:val="19F32613"/>
    <w:rsid w:val="1BD46C26"/>
    <w:rsid w:val="1DFE1EC3"/>
    <w:rsid w:val="1F874085"/>
    <w:rsid w:val="1FA111FD"/>
    <w:rsid w:val="1FDE7F6F"/>
    <w:rsid w:val="21BC0183"/>
    <w:rsid w:val="221435F9"/>
    <w:rsid w:val="2432006F"/>
    <w:rsid w:val="25DF1C60"/>
    <w:rsid w:val="281C077C"/>
    <w:rsid w:val="29011A33"/>
    <w:rsid w:val="2A0C6E93"/>
    <w:rsid w:val="2AF220C5"/>
    <w:rsid w:val="2C124152"/>
    <w:rsid w:val="2C127B7E"/>
    <w:rsid w:val="2C5129BE"/>
    <w:rsid w:val="2C7843EE"/>
    <w:rsid w:val="2CCD473A"/>
    <w:rsid w:val="2D622954"/>
    <w:rsid w:val="2FB0122B"/>
    <w:rsid w:val="30191A45"/>
    <w:rsid w:val="30361AC7"/>
    <w:rsid w:val="312106EF"/>
    <w:rsid w:val="31251A36"/>
    <w:rsid w:val="324C02A1"/>
    <w:rsid w:val="33344EAD"/>
    <w:rsid w:val="341E46BE"/>
    <w:rsid w:val="344531D6"/>
    <w:rsid w:val="347D6C38"/>
    <w:rsid w:val="348C2ED8"/>
    <w:rsid w:val="356B18E7"/>
    <w:rsid w:val="367515DD"/>
    <w:rsid w:val="381141D6"/>
    <w:rsid w:val="3843297F"/>
    <w:rsid w:val="3B912DD7"/>
    <w:rsid w:val="3C674AF1"/>
    <w:rsid w:val="3C8B5574"/>
    <w:rsid w:val="3D956BAE"/>
    <w:rsid w:val="3E5B586C"/>
    <w:rsid w:val="3ED25BE0"/>
    <w:rsid w:val="3FFA6E29"/>
    <w:rsid w:val="3FFE1174"/>
    <w:rsid w:val="41393CF5"/>
    <w:rsid w:val="419F761A"/>
    <w:rsid w:val="43421586"/>
    <w:rsid w:val="447A4D50"/>
    <w:rsid w:val="451A6E30"/>
    <w:rsid w:val="46380A1F"/>
    <w:rsid w:val="48A516A1"/>
    <w:rsid w:val="48E91616"/>
    <w:rsid w:val="49566427"/>
    <w:rsid w:val="4ABA5EA6"/>
    <w:rsid w:val="4B5A15DC"/>
    <w:rsid w:val="4D2B6849"/>
    <w:rsid w:val="54A278F0"/>
    <w:rsid w:val="56625541"/>
    <w:rsid w:val="57B63E99"/>
    <w:rsid w:val="5B153D68"/>
    <w:rsid w:val="5B644079"/>
    <w:rsid w:val="5C0E6052"/>
    <w:rsid w:val="5C2F3ECA"/>
    <w:rsid w:val="60CA3C24"/>
    <w:rsid w:val="612F6608"/>
    <w:rsid w:val="61DC4E6B"/>
    <w:rsid w:val="620A560F"/>
    <w:rsid w:val="63686D0C"/>
    <w:rsid w:val="637E1A26"/>
    <w:rsid w:val="637F0F7D"/>
    <w:rsid w:val="63861DC3"/>
    <w:rsid w:val="63EC289D"/>
    <w:rsid w:val="644A1455"/>
    <w:rsid w:val="64D16B1E"/>
    <w:rsid w:val="64F658D5"/>
    <w:rsid w:val="64FA09C8"/>
    <w:rsid w:val="65E572CC"/>
    <w:rsid w:val="66D2217B"/>
    <w:rsid w:val="675A4DDF"/>
    <w:rsid w:val="67957627"/>
    <w:rsid w:val="68306A99"/>
    <w:rsid w:val="68624E4D"/>
    <w:rsid w:val="68673C57"/>
    <w:rsid w:val="68806828"/>
    <w:rsid w:val="688139F0"/>
    <w:rsid w:val="6A365A66"/>
    <w:rsid w:val="6B0F76F1"/>
    <w:rsid w:val="6B2F5F78"/>
    <w:rsid w:val="6BCA0C65"/>
    <w:rsid w:val="6CB467A2"/>
    <w:rsid w:val="6DA458E2"/>
    <w:rsid w:val="6DBF7236"/>
    <w:rsid w:val="72275320"/>
    <w:rsid w:val="72E651DB"/>
    <w:rsid w:val="73840550"/>
    <w:rsid w:val="7390683B"/>
    <w:rsid w:val="75E34062"/>
    <w:rsid w:val="75E71591"/>
    <w:rsid w:val="75F66E74"/>
    <w:rsid w:val="78291D08"/>
    <w:rsid w:val="7903622B"/>
    <w:rsid w:val="7C8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position w:val="0"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5">
    <w:name w:val="Block Text"/>
    <w:basedOn w:val="1"/>
    <w:autoRedefine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6">
    <w:name w:val="Date"/>
    <w:basedOn w:val="1"/>
    <w:next w:val="1"/>
    <w:autoRedefine/>
    <w:qFormat/>
    <w:uiPriority w:val="0"/>
  </w:style>
  <w:style w:type="paragraph" w:styleId="7">
    <w:name w:val="endnote text"/>
    <w:basedOn w:val="1"/>
    <w:autoRedefine/>
    <w:qFormat/>
    <w:uiPriority w:val="0"/>
    <w:pPr>
      <w:snapToGrid w:val="0"/>
      <w:jc w:val="left"/>
    </w:pPr>
  </w:style>
  <w:style w:type="paragraph" w:styleId="8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paragraph" w:customStyle="1" w:styleId="18">
    <w:name w:val="Default"/>
    <w:autoRedefine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9"/>
    <w:autoRedefine/>
    <w:qFormat/>
    <w:uiPriority w:val="99"/>
    <w:rPr>
      <w:sz w:val="18"/>
      <w:szCs w:val="18"/>
    </w:rPr>
  </w:style>
  <w:style w:type="character" w:customStyle="1" w:styleId="22">
    <w:name w:val="批注框文本 Char"/>
    <w:basedOn w:val="15"/>
    <w:link w:val="8"/>
    <w:autoRedefine/>
    <w:semiHidden/>
    <w:qFormat/>
    <w:uiPriority w:val="99"/>
    <w:rPr>
      <w:sz w:val="18"/>
      <w:szCs w:val="18"/>
    </w:rPr>
  </w:style>
  <w:style w:type="paragraph" w:customStyle="1" w:styleId="23">
    <w:name w:val="firme"/>
    <w:basedOn w:val="1"/>
    <w:qFormat/>
    <w:uiPriority w:val="0"/>
    <w:pPr>
      <w:widowControl/>
      <w:snapToGrid w:val="0"/>
      <w:spacing w:line="360" w:lineRule="auto"/>
      <w:jc w:val="left"/>
    </w:pPr>
    <w:rPr>
      <w:rFonts w:ascii="Arial Narrow" w:hAnsi="Arial Narrow"/>
      <w:kern w:val="0"/>
      <w:sz w:val="24"/>
      <w:szCs w:val="21"/>
      <w:lang w:val="it-IT" w:eastAsia="it-IT"/>
    </w:rPr>
  </w:style>
  <w:style w:type="paragraph" w:customStyle="1" w:styleId="24">
    <w:name w:val="Heading Left"/>
    <w:basedOn w:val="1"/>
    <w:autoRedefine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lang w:val="en-GB" w:eastAsia="en-US"/>
    </w:rPr>
  </w:style>
  <w:style w:type="paragraph" w:customStyle="1" w:styleId="25">
    <w:name w:val="Table Text"/>
    <w:basedOn w:val="1"/>
    <w:autoRedefine/>
    <w:qFormat/>
    <w:uiPriority w:val="99"/>
    <w:pPr>
      <w:widowControl/>
      <w:spacing w:before="60" w:after="60"/>
      <w:jc w:val="center"/>
    </w:pPr>
    <w:rPr>
      <w:bCs/>
      <w:kern w:val="0"/>
      <w:sz w:val="24"/>
      <w:lang w:eastAsia="en-US"/>
    </w:rPr>
  </w:style>
  <w:style w:type="paragraph" w:customStyle="1" w:styleId="26">
    <w:name w:val="Text"/>
    <w:basedOn w:val="1"/>
    <w:autoRedefine/>
    <w:qFormat/>
    <w:uiPriority w:val="99"/>
    <w:pPr>
      <w:widowControl/>
      <w:spacing w:before="120"/>
    </w:pPr>
    <w:rPr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D8A2-3474-461D-8816-72371A181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2238</Words>
  <Characters>2592</Characters>
  <Lines>4</Lines>
  <Paragraphs>1</Paragraphs>
  <TotalTime>22</TotalTime>
  <ScaleCrop>false</ScaleCrop>
  <LinksUpToDate>false</LinksUpToDate>
  <CharactersWithSpaces>2692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2019-12-05T07:44:00Z</dcterms:created>
  <dc:creator>Users</dc:creator>
  <cp:lastModifiedBy>小冰</cp:lastModifiedBy>
  <cp:lastPrinted>2023-09-15T08:51:00Z</cp:lastPrinted>
  <dcterms:modified xsi:type="dcterms:W3CDTF">2024-01-02T08:26:47Z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F41FC55DFB7C49D39D5692FAECB918AD_12</vt:lpwstr>
  </property>
</Properties>
</file>